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E37CC" w14:textId="08928206" w:rsidR="004D55D5" w:rsidRPr="00C95B1D" w:rsidRDefault="00D1646C" w:rsidP="00B07EB7">
      <w:pPr>
        <w:pStyle w:val="Overskrift1"/>
        <w:jc w:val="center"/>
        <w:rPr>
          <w:sz w:val="48"/>
          <w:szCs w:val="48"/>
          <w:lang w:val="nb-NO"/>
        </w:rPr>
      </w:pPr>
      <w:r w:rsidRPr="00C95B1D">
        <w:rPr>
          <w:sz w:val="48"/>
          <w:szCs w:val="48"/>
          <w:lang w:val="nb-NO"/>
        </w:rPr>
        <w:t xml:space="preserve">Veileder </w:t>
      </w:r>
      <w:r w:rsidR="00551142" w:rsidRPr="00C95B1D">
        <w:rPr>
          <w:sz w:val="48"/>
          <w:szCs w:val="48"/>
          <w:lang w:val="nb-NO"/>
        </w:rPr>
        <w:t>for GTT</w:t>
      </w:r>
      <w:r w:rsidR="00EA0D80">
        <w:rPr>
          <w:sz w:val="48"/>
          <w:szCs w:val="48"/>
          <w:lang w:val="nb-NO"/>
        </w:rPr>
        <w:t>-kontrollgrafer</w:t>
      </w:r>
    </w:p>
    <w:p w14:paraId="555F5BDC" w14:textId="77777777" w:rsidR="003B3520" w:rsidRDefault="003B3520" w:rsidP="003B3520">
      <w:pPr>
        <w:spacing w:after="0"/>
        <w:rPr>
          <w:rFonts w:ascii="Arial" w:hAnsi="Arial" w:cs="Arial"/>
          <w:lang w:val="nb-NO"/>
        </w:rPr>
      </w:pPr>
    </w:p>
    <w:p w14:paraId="4653DD17" w14:textId="7BF41E40" w:rsidR="00551142" w:rsidRPr="00BE4182" w:rsidRDefault="003B3520" w:rsidP="00447FEF">
      <w:pPr>
        <w:spacing w:after="0"/>
        <w:rPr>
          <w:rFonts w:cstheme="minorHAnsi"/>
          <w:lang w:val="nb-NO"/>
        </w:rPr>
      </w:pPr>
      <w:r w:rsidRPr="00BE4182">
        <w:rPr>
          <w:rFonts w:cstheme="minorHAnsi"/>
          <w:lang w:val="nb-NO"/>
        </w:rPr>
        <w:t>Dette dokumentet beskriver hvordan malen</w:t>
      </w:r>
      <w:r w:rsidR="00551142" w:rsidRPr="00BE4182">
        <w:rPr>
          <w:rFonts w:cstheme="minorHAnsi"/>
          <w:lang w:val="nb-NO"/>
        </w:rPr>
        <w:t xml:space="preserve"> for</w:t>
      </w:r>
      <w:r w:rsidR="00C95B1D" w:rsidRPr="00BE4182">
        <w:rPr>
          <w:rFonts w:cstheme="minorHAnsi"/>
          <w:lang w:val="nb-NO"/>
        </w:rPr>
        <w:t xml:space="preserve"> kontrollgrafer</w:t>
      </w:r>
      <w:r w:rsidR="00551142" w:rsidRPr="00BE4182">
        <w:rPr>
          <w:rFonts w:cstheme="minorHAnsi"/>
          <w:lang w:val="nb-NO"/>
        </w:rPr>
        <w:t xml:space="preserve"> for å presentere GTT-resultater </w:t>
      </w:r>
      <w:r w:rsidRPr="00BE4182">
        <w:rPr>
          <w:rFonts w:cstheme="minorHAnsi"/>
          <w:lang w:val="nb-NO"/>
        </w:rPr>
        <w:t>b</w:t>
      </w:r>
      <w:r w:rsidR="00551142" w:rsidRPr="00BE4182">
        <w:rPr>
          <w:rFonts w:cstheme="minorHAnsi"/>
          <w:lang w:val="nb-NO"/>
        </w:rPr>
        <w:t>rukes</w:t>
      </w:r>
      <w:r w:rsidR="00295CC4">
        <w:rPr>
          <w:rStyle w:val="Fotnotereferanse"/>
          <w:rFonts w:cstheme="minorHAnsi"/>
          <w:lang w:val="nb-NO"/>
        </w:rPr>
        <w:footnoteReference w:id="1"/>
      </w:r>
      <w:r w:rsidRPr="00BE4182">
        <w:rPr>
          <w:rFonts w:cstheme="minorHAnsi"/>
          <w:lang w:val="nb-NO"/>
        </w:rPr>
        <w:t>.</w:t>
      </w:r>
      <w:r w:rsidR="0085202B" w:rsidRPr="00BE4182">
        <w:rPr>
          <w:rFonts w:cstheme="minorHAnsi"/>
          <w:lang w:val="nb-NO"/>
        </w:rPr>
        <w:t xml:space="preserve"> Malen ligger </w:t>
      </w:r>
      <w:r w:rsidR="00717D34">
        <w:rPr>
          <w:rFonts w:cstheme="minorHAnsi"/>
          <w:lang w:val="nb-NO"/>
        </w:rPr>
        <w:t xml:space="preserve">under </w:t>
      </w:r>
      <w:r w:rsidR="00EA58A6">
        <w:rPr>
          <w:rFonts w:cstheme="minorHAnsi"/>
          <w:lang w:val="nb-NO"/>
        </w:rPr>
        <w:t>avsnittet</w:t>
      </w:r>
      <w:r w:rsidR="00717D34">
        <w:rPr>
          <w:rFonts w:cstheme="minorHAnsi"/>
          <w:lang w:val="nb-NO"/>
        </w:rPr>
        <w:t xml:space="preserve"> «Kontrollgrafer»</w:t>
      </w:r>
      <w:r w:rsidR="00811A70">
        <w:rPr>
          <w:rFonts w:cstheme="minorHAnsi"/>
          <w:lang w:val="nb-NO"/>
        </w:rPr>
        <w:t xml:space="preserve"> nederst</w:t>
      </w:r>
      <w:r w:rsidR="0085202B" w:rsidRPr="00BE4182">
        <w:rPr>
          <w:rFonts w:cstheme="minorHAnsi"/>
          <w:lang w:val="nb-NO"/>
        </w:rPr>
        <w:t xml:space="preserve"> på nettsiden </w:t>
      </w:r>
      <w:hyperlink r:id="rId8" w:history="1">
        <w:r w:rsidR="001518E2" w:rsidRPr="00717D34">
          <w:rPr>
            <w:rStyle w:val="Hyperkobling"/>
            <w:lang w:val="nb-NO"/>
          </w:rPr>
          <w:t>https://www.itryggehender24-7.no/malinger/global-trigger-tool-gtt/praktisk-informasjon-for-global-trigger-tool-team</w:t>
        </w:r>
      </w:hyperlink>
      <w:r w:rsidR="00653A20" w:rsidRPr="00BE4182">
        <w:rPr>
          <w:rFonts w:cstheme="minorHAnsi"/>
          <w:lang w:val="nb-NO"/>
        </w:rPr>
        <w:t>. Det er é</w:t>
      </w:r>
      <w:r w:rsidR="0085202B" w:rsidRPr="00BE4182">
        <w:rPr>
          <w:rFonts w:cstheme="minorHAnsi"/>
          <w:lang w:val="nb-NO"/>
        </w:rPr>
        <w:t>n mal for</w:t>
      </w:r>
      <w:r w:rsidR="00023346" w:rsidRPr="00BE4182">
        <w:rPr>
          <w:rFonts w:cstheme="minorHAnsi"/>
          <w:lang w:val="nb-NO"/>
        </w:rPr>
        <w:t xml:space="preserve"> hvert mulige startår (2010 er første mulige)</w:t>
      </w:r>
      <w:r w:rsidR="0085202B" w:rsidRPr="00BE4182">
        <w:rPr>
          <w:rFonts w:cstheme="minorHAnsi"/>
          <w:lang w:val="nb-NO"/>
        </w:rPr>
        <w:t>.</w:t>
      </w:r>
      <w:r w:rsidR="00E16E54">
        <w:rPr>
          <w:rFonts w:cstheme="minorHAnsi"/>
          <w:lang w:val="nb-NO"/>
        </w:rPr>
        <w:t xml:space="preserve"> Data for startåret vises ikke i grafen, men danner grunnlaget for referanseverdien som brukes i første år som plottes. Startåret kan enten være det året </w:t>
      </w:r>
      <w:r w:rsidR="00BA7CD4">
        <w:rPr>
          <w:rFonts w:cstheme="minorHAnsi"/>
          <w:lang w:val="nb-NO"/>
        </w:rPr>
        <w:t>GTT-</w:t>
      </w:r>
      <w:r w:rsidR="00E16E54">
        <w:rPr>
          <w:rFonts w:cstheme="minorHAnsi"/>
          <w:lang w:val="nb-NO"/>
        </w:rPr>
        <w:t xml:space="preserve">teamet startet </w:t>
      </w:r>
      <w:r w:rsidR="00BA7CD4">
        <w:rPr>
          <w:rFonts w:cstheme="minorHAnsi"/>
          <w:lang w:val="nb-NO"/>
        </w:rPr>
        <w:t>granskningen</w:t>
      </w:r>
      <w:r w:rsidR="00705AAD">
        <w:rPr>
          <w:rFonts w:cstheme="minorHAnsi"/>
          <w:lang w:val="nb-NO"/>
        </w:rPr>
        <w:t xml:space="preserve"> dersom det er ønskelig å vise hele tidsserien</w:t>
      </w:r>
      <w:r w:rsidR="00E16E54">
        <w:rPr>
          <w:rFonts w:cstheme="minorHAnsi"/>
          <w:lang w:val="nb-NO"/>
        </w:rPr>
        <w:t xml:space="preserve">, eller året før det som skal vises i </w:t>
      </w:r>
      <w:r w:rsidR="00DA6587">
        <w:rPr>
          <w:rFonts w:cstheme="minorHAnsi"/>
          <w:lang w:val="nb-NO"/>
        </w:rPr>
        <w:t>grafen</w:t>
      </w:r>
      <w:r w:rsidR="00705AAD">
        <w:rPr>
          <w:rFonts w:cstheme="minorHAnsi"/>
          <w:lang w:val="nb-NO"/>
        </w:rPr>
        <w:t xml:space="preserve"> dersom det er ønskelig å vise kortere historikk</w:t>
      </w:r>
      <w:r w:rsidR="00E16E54">
        <w:rPr>
          <w:rFonts w:cstheme="minorHAnsi"/>
          <w:lang w:val="nb-NO"/>
        </w:rPr>
        <w:t>.</w:t>
      </w:r>
    </w:p>
    <w:p w14:paraId="1A5590DA" w14:textId="77777777" w:rsidR="00447FEF" w:rsidRPr="00BE4182" w:rsidRDefault="00447FEF" w:rsidP="00447FEF">
      <w:pPr>
        <w:spacing w:after="0"/>
        <w:rPr>
          <w:rFonts w:cstheme="minorHAnsi"/>
          <w:lang w:val="nb-NO"/>
        </w:rPr>
      </w:pPr>
    </w:p>
    <w:p w14:paraId="5FA2B856" w14:textId="4B3CA868" w:rsidR="00551142" w:rsidRDefault="00D37C7F" w:rsidP="00447FEF">
      <w:pPr>
        <w:spacing w:after="0"/>
        <w:rPr>
          <w:rFonts w:cstheme="minorHAnsi"/>
          <w:lang w:val="nb-NO"/>
        </w:rPr>
      </w:pPr>
      <w:r>
        <w:rPr>
          <w:rFonts w:cstheme="minorHAnsi"/>
          <w:lang w:val="nb-NO"/>
        </w:rPr>
        <w:t>Først</w:t>
      </w:r>
      <w:r w:rsidR="00964C0B">
        <w:rPr>
          <w:rFonts w:cstheme="minorHAnsi"/>
          <w:lang w:val="nb-NO"/>
        </w:rPr>
        <w:t xml:space="preserve"> beskrives</w:t>
      </w:r>
      <w:r w:rsidR="00551142" w:rsidRPr="00BE4182">
        <w:rPr>
          <w:rFonts w:cstheme="minorHAnsi"/>
          <w:lang w:val="nb-NO"/>
        </w:rPr>
        <w:t xml:space="preserve"> fremgangsmåten for å lage en kontrollgraf</w:t>
      </w:r>
      <w:r>
        <w:rPr>
          <w:rFonts w:cstheme="minorHAnsi"/>
          <w:lang w:val="nb-NO"/>
        </w:rPr>
        <w:t xml:space="preserve"> og så</w:t>
      </w:r>
      <w:r w:rsidR="00551142" w:rsidRPr="00BE4182">
        <w:rPr>
          <w:rFonts w:cstheme="minorHAnsi"/>
          <w:lang w:val="nb-NO"/>
        </w:rPr>
        <w:t xml:space="preserve"> beskrive</w:t>
      </w:r>
      <w:r>
        <w:rPr>
          <w:rFonts w:cstheme="minorHAnsi"/>
          <w:lang w:val="nb-NO"/>
        </w:rPr>
        <w:t>s</w:t>
      </w:r>
      <w:r w:rsidR="00551142" w:rsidRPr="00BE4182">
        <w:rPr>
          <w:rFonts w:cstheme="minorHAnsi"/>
          <w:lang w:val="nb-NO"/>
        </w:rPr>
        <w:t xml:space="preserve"> kontrollgrafen</w:t>
      </w:r>
      <w:r w:rsidR="00964C0B">
        <w:rPr>
          <w:rFonts w:cstheme="minorHAnsi"/>
          <w:lang w:val="nb-NO"/>
        </w:rPr>
        <w:t>s innhold</w:t>
      </w:r>
      <w:r>
        <w:rPr>
          <w:rFonts w:cstheme="minorHAnsi"/>
          <w:lang w:val="nb-NO"/>
        </w:rPr>
        <w:t>, både hva som menes med en slik graf og hvordan den skal forstås</w:t>
      </w:r>
      <w:r w:rsidR="00551142" w:rsidRPr="00BE4182">
        <w:rPr>
          <w:rFonts w:cstheme="minorHAnsi"/>
          <w:lang w:val="nb-NO"/>
        </w:rPr>
        <w:t>.</w:t>
      </w:r>
    </w:p>
    <w:p w14:paraId="12BA8032" w14:textId="77777777" w:rsidR="004D7C19" w:rsidRPr="00BE4182" w:rsidRDefault="004D7C19" w:rsidP="00447FEF">
      <w:pPr>
        <w:spacing w:after="0"/>
        <w:rPr>
          <w:rFonts w:cstheme="minorHAnsi"/>
          <w:lang w:val="nb-NO"/>
        </w:rPr>
      </w:pPr>
    </w:p>
    <w:p w14:paraId="00869D7A" w14:textId="1831261D" w:rsidR="00551142" w:rsidRPr="00C000B8" w:rsidRDefault="00551142" w:rsidP="00204A2D">
      <w:pPr>
        <w:pStyle w:val="Overskrift1"/>
        <w:rPr>
          <w:lang w:val="nb-NO"/>
        </w:rPr>
      </w:pPr>
      <w:r w:rsidRPr="00C000B8">
        <w:rPr>
          <w:lang w:val="nb-NO"/>
        </w:rPr>
        <w:t>Brukerveiled</w:t>
      </w:r>
      <w:r w:rsidR="00F72B0B" w:rsidRPr="00C000B8">
        <w:rPr>
          <w:lang w:val="nb-NO"/>
        </w:rPr>
        <w:t>n</w:t>
      </w:r>
      <w:r w:rsidRPr="00C000B8">
        <w:rPr>
          <w:lang w:val="nb-NO"/>
        </w:rPr>
        <w:t>ing</w:t>
      </w:r>
    </w:p>
    <w:p w14:paraId="475409D1" w14:textId="77777777" w:rsidR="000F4998" w:rsidRPr="000F4998" w:rsidRDefault="000F4998" w:rsidP="000F4998">
      <w:pPr>
        <w:spacing w:after="0"/>
        <w:rPr>
          <w:rFonts w:cstheme="minorHAnsi"/>
          <w:lang w:val="nb-NO"/>
        </w:rPr>
      </w:pPr>
    </w:p>
    <w:p w14:paraId="7E096F1D" w14:textId="26A14A8C" w:rsidR="00300330" w:rsidRPr="00BE4182" w:rsidRDefault="004F6533" w:rsidP="00447FEF">
      <w:pPr>
        <w:spacing w:after="0"/>
        <w:rPr>
          <w:rFonts w:cstheme="minorHAnsi"/>
          <w:lang w:val="nb-NO"/>
        </w:rPr>
      </w:pPr>
      <w:r>
        <w:rPr>
          <w:rFonts w:cstheme="minorHAnsi"/>
          <w:lang w:val="nb-NO"/>
        </w:rPr>
        <w:t>For startår 2016 ser r</w:t>
      </w:r>
      <w:r w:rsidR="00FD66A4" w:rsidRPr="00BE4182">
        <w:rPr>
          <w:rFonts w:cstheme="minorHAnsi"/>
          <w:lang w:val="nb-NO"/>
        </w:rPr>
        <w:t xml:space="preserve">egnearket som lager kontrollgrafen </w:t>
      </w:r>
      <w:r w:rsidR="001D00B5">
        <w:rPr>
          <w:rFonts w:cstheme="minorHAnsi"/>
          <w:lang w:val="nb-NO"/>
        </w:rPr>
        <w:t>ut som i figuren under.</w:t>
      </w:r>
      <w:r w:rsidR="004A5987">
        <w:rPr>
          <w:rFonts w:cstheme="minorHAnsi"/>
          <w:lang w:val="nb-NO"/>
        </w:rPr>
        <w:t xml:space="preserve"> Grafen vil vise årene fra og med 2017.</w:t>
      </w:r>
    </w:p>
    <w:p w14:paraId="6D8AD41B" w14:textId="42DDE04A" w:rsidR="008324EB" w:rsidRDefault="008324EB" w:rsidP="00447FEF">
      <w:pPr>
        <w:spacing w:after="0"/>
        <w:rPr>
          <w:rFonts w:cstheme="minorHAnsi"/>
          <w:lang w:val="nb-NO"/>
        </w:rPr>
      </w:pPr>
    </w:p>
    <w:p w14:paraId="736A89E1" w14:textId="399B8D3F" w:rsidR="00E0193E" w:rsidRDefault="006B20C1" w:rsidP="00447FEF">
      <w:pPr>
        <w:spacing w:after="0"/>
        <w:rPr>
          <w:rFonts w:cstheme="minorHAnsi"/>
          <w:lang w:val="nb-NO"/>
        </w:rPr>
      </w:pPr>
      <w:r w:rsidRPr="006B20C1">
        <w:rPr>
          <w:rFonts w:cstheme="minorHAnsi"/>
          <w:noProof/>
          <w:lang w:val="nb-NO"/>
        </w:rPr>
        <w:drawing>
          <wp:inline distT="0" distB="0" distL="0" distR="0" wp14:anchorId="1F868141" wp14:editId="65A9EC5F">
            <wp:extent cx="5943600" cy="2331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331085"/>
                    </a:xfrm>
                    <a:prstGeom prst="rect">
                      <a:avLst/>
                    </a:prstGeom>
                  </pic:spPr>
                </pic:pic>
              </a:graphicData>
            </a:graphic>
          </wp:inline>
        </w:drawing>
      </w:r>
    </w:p>
    <w:p w14:paraId="5E4D2BF2" w14:textId="77777777" w:rsidR="006B20C1" w:rsidRPr="00BE4182" w:rsidRDefault="006B20C1" w:rsidP="00447FEF">
      <w:pPr>
        <w:spacing w:after="0"/>
        <w:rPr>
          <w:rFonts w:cstheme="minorHAnsi"/>
          <w:lang w:val="nb-NO"/>
        </w:rPr>
      </w:pPr>
    </w:p>
    <w:p w14:paraId="01F81183" w14:textId="1AF2758B" w:rsidR="008324EB" w:rsidRPr="00BE4182" w:rsidRDefault="008324EB" w:rsidP="00447FEF">
      <w:pPr>
        <w:spacing w:after="0"/>
        <w:rPr>
          <w:rFonts w:cstheme="minorHAnsi"/>
          <w:lang w:val="nb-NO"/>
        </w:rPr>
      </w:pPr>
      <w:r w:rsidRPr="00BE4182">
        <w:rPr>
          <w:rFonts w:cstheme="minorHAnsi"/>
          <w:lang w:val="nb-NO"/>
        </w:rPr>
        <w:t>Data som trengs for å lage kontrollgrafen er variablene «Antall pasient</w:t>
      </w:r>
      <w:r w:rsidR="003810E7">
        <w:rPr>
          <w:rFonts w:cstheme="minorHAnsi"/>
          <w:lang w:val="nb-NO"/>
        </w:rPr>
        <w:t>er som har erfart</w:t>
      </w:r>
      <w:r w:rsidRPr="00BE4182">
        <w:rPr>
          <w:rFonts w:cstheme="minorHAnsi"/>
          <w:lang w:val="nb-NO"/>
        </w:rPr>
        <w:t xml:space="preserve"> </w:t>
      </w:r>
      <w:r w:rsidR="003810E7">
        <w:rPr>
          <w:rFonts w:cstheme="minorHAnsi"/>
          <w:lang w:val="nb-NO"/>
        </w:rPr>
        <w:t>pasient</w:t>
      </w:r>
      <w:r w:rsidRPr="00BE4182">
        <w:rPr>
          <w:rFonts w:cstheme="minorHAnsi"/>
          <w:lang w:val="nb-NO"/>
        </w:rPr>
        <w:t xml:space="preserve">skade» og «Antall </w:t>
      </w:r>
      <w:r w:rsidR="003810E7">
        <w:rPr>
          <w:rFonts w:cstheme="minorHAnsi"/>
          <w:lang w:val="nb-NO"/>
        </w:rPr>
        <w:t>sykehusopphold</w:t>
      </w:r>
      <w:r w:rsidRPr="00BE4182">
        <w:rPr>
          <w:rFonts w:cstheme="minorHAnsi"/>
          <w:lang w:val="nb-NO"/>
        </w:rPr>
        <w:t xml:space="preserve"> undersøkt» for hver to-ukers-periode i det tidsintervallet</w:t>
      </w:r>
      <w:r w:rsidR="002B15EA">
        <w:rPr>
          <w:rFonts w:cstheme="minorHAnsi"/>
          <w:lang w:val="nb-NO"/>
        </w:rPr>
        <w:t xml:space="preserve"> som skal plottes</w:t>
      </w:r>
      <w:r w:rsidR="00357950">
        <w:rPr>
          <w:rFonts w:cstheme="minorHAnsi"/>
          <w:lang w:val="nb-NO"/>
        </w:rPr>
        <w:t>, samt startåret</w:t>
      </w:r>
      <w:r w:rsidRPr="00BE4182">
        <w:rPr>
          <w:rFonts w:cstheme="minorHAnsi"/>
          <w:lang w:val="nb-NO"/>
        </w:rPr>
        <w:t>. Dette er data som tidligere ble lagret i Extranet</w:t>
      </w:r>
      <w:r w:rsidR="00346955">
        <w:rPr>
          <w:rFonts w:cstheme="minorHAnsi"/>
          <w:lang w:val="nb-NO"/>
        </w:rPr>
        <w:t>, men</w:t>
      </w:r>
      <w:r w:rsidRPr="00BE4182">
        <w:rPr>
          <w:rFonts w:cstheme="minorHAnsi"/>
          <w:lang w:val="nb-NO"/>
        </w:rPr>
        <w:t xml:space="preserve"> </w:t>
      </w:r>
      <w:r w:rsidR="00346955">
        <w:rPr>
          <w:rFonts w:cstheme="minorHAnsi"/>
          <w:lang w:val="nb-NO"/>
        </w:rPr>
        <w:t>f</w:t>
      </w:r>
      <w:r w:rsidRPr="00BE4182">
        <w:rPr>
          <w:rFonts w:cstheme="minorHAnsi"/>
          <w:lang w:val="nb-NO"/>
        </w:rPr>
        <w:t>ra 2020</w:t>
      </w:r>
      <w:r w:rsidR="00132594">
        <w:rPr>
          <w:rFonts w:cstheme="minorHAnsi"/>
          <w:lang w:val="nb-NO"/>
        </w:rPr>
        <w:t xml:space="preserve"> rapporteres</w:t>
      </w:r>
      <w:r w:rsidR="00811A70">
        <w:rPr>
          <w:rFonts w:cstheme="minorHAnsi"/>
          <w:lang w:val="nb-NO"/>
        </w:rPr>
        <w:t xml:space="preserve"> </w:t>
      </w:r>
      <w:r w:rsidRPr="00BE4182">
        <w:rPr>
          <w:rFonts w:cstheme="minorHAnsi"/>
          <w:lang w:val="nb-NO"/>
        </w:rPr>
        <w:t>disse dataene</w:t>
      </w:r>
      <w:r w:rsidR="00C000B8">
        <w:rPr>
          <w:rFonts w:cstheme="minorHAnsi"/>
          <w:lang w:val="nb-NO"/>
        </w:rPr>
        <w:t xml:space="preserve"> til Helsedirektoratet</w:t>
      </w:r>
      <w:r w:rsidRPr="00BE4182">
        <w:rPr>
          <w:rFonts w:cstheme="minorHAnsi"/>
          <w:lang w:val="nb-NO"/>
        </w:rPr>
        <w:t xml:space="preserve"> i Excel-skjemaer.</w:t>
      </w:r>
    </w:p>
    <w:p w14:paraId="24C49241" w14:textId="77777777" w:rsidR="008324EB" w:rsidRPr="00BE4182" w:rsidRDefault="008324EB" w:rsidP="00447FEF">
      <w:pPr>
        <w:spacing w:after="0"/>
        <w:rPr>
          <w:rFonts w:cstheme="minorHAnsi"/>
          <w:lang w:val="nb-NO"/>
        </w:rPr>
      </w:pPr>
    </w:p>
    <w:p w14:paraId="242B7BEB" w14:textId="77777777" w:rsidR="0033737C" w:rsidRPr="0033737C" w:rsidRDefault="0033737C" w:rsidP="0033737C">
      <w:pPr>
        <w:pStyle w:val="Listeavsnitt"/>
        <w:numPr>
          <w:ilvl w:val="0"/>
          <w:numId w:val="2"/>
        </w:numPr>
        <w:spacing w:after="0"/>
        <w:rPr>
          <w:rFonts w:cstheme="minorHAnsi"/>
          <w:lang w:val="nb-NO"/>
        </w:rPr>
      </w:pPr>
      <w:r>
        <w:rPr>
          <w:rFonts w:cstheme="minorHAnsi"/>
          <w:lang w:val="nb-NO"/>
        </w:rPr>
        <w:lastRenderedPageBreak/>
        <w:t>Last</w:t>
      </w:r>
      <w:r w:rsidRPr="000F4998">
        <w:rPr>
          <w:rFonts w:cstheme="minorHAnsi"/>
          <w:lang w:val="nb-NO"/>
        </w:rPr>
        <w:t xml:space="preserve"> ned og lagre malen (Excel-fil) som viser de årene du er interessert i.</w:t>
      </w:r>
      <w:r>
        <w:rPr>
          <w:rFonts w:cstheme="minorHAnsi"/>
          <w:lang w:val="nb-NO"/>
        </w:rPr>
        <w:t xml:space="preserve"> </w:t>
      </w:r>
      <w:r w:rsidRPr="000F4998">
        <w:rPr>
          <w:rFonts w:cstheme="minorHAnsi"/>
          <w:lang w:val="nb-NO"/>
        </w:rPr>
        <w:t>Åpne deretter filen.</w:t>
      </w:r>
    </w:p>
    <w:p w14:paraId="333DA89C" w14:textId="42859BDB" w:rsidR="00FE5802" w:rsidRPr="000F4998" w:rsidRDefault="008324EB" w:rsidP="000F4998">
      <w:pPr>
        <w:pStyle w:val="Listeavsnitt"/>
        <w:numPr>
          <w:ilvl w:val="0"/>
          <w:numId w:val="2"/>
        </w:numPr>
        <w:spacing w:after="0"/>
        <w:rPr>
          <w:rFonts w:cstheme="minorHAnsi"/>
          <w:lang w:val="nb-NO"/>
        </w:rPr>
      </w:pPr>
      <w:r w:rsidRPr="000F4998">
        <w:rPr>
          <w:rFonts w:cstheme="minorHAnsi"/>
          <w:lang w:val="nb-NO"/>
        </w:rPr>
        <w:t>Legg inn verdier for variablene «Antall pasien</w:t>
      </w:r>
      <w:r w:rsidR="009C141A">
        <w:rPr>
          <w:rFonts w:cstheme="minorHAnsi"/>
          <w:lang w:val="nb-NO"/>
        </w:rPr>
        <w:t>ter som har erfart</w:t>
      </w:r>
      <w:r w:rsidRPr="000F4998">
        <w:rPr>
          <w:rFonts w:cstheme="minorHAnsi"/>
          <w:lang w:val="nb-NO"/>
        </w:rPr>
        <w:t xml:space="preserve"> </w:t>
      </w:r>
      <w:r w:rsidR="009C141A">
        <w:rPr>
          <w:rFonts w:cstheme="minorHAnsi"/>
          <w:lang w:val="nb-NO"/>
        </w:rPr>
        <w:t>pasient</w:t>
      </w:r>
      <w:r w:rsidRPr="000F4998">
        <w:rPr>
          <w:rFonts w:cstheme="minorHAnsi"/>
          <w:lang w:val="nb-NO"/>
        </w:rPr>
        <w:t xml:space="preserve">skade» og «Antall </w:t>
      </w:r>
      <w:r w:rsidR="009C141A">
        <w:rPr>
          <w:rFonts w:cstheme="minorHAnsi"/>
          <w:lang w:val="nb-NO"/>
        </w:rPr>
        <w:t>sykehusopphold</w:t>
      </w:r>
      <w:r w:rsidRPr="000F4998">
        <w:rPr>
          <w:rFonts w:cstheme="minorHAnsi"/>
          <w:lang w:val="nb-NO"/>
        </w:rPr>
        <w:t xml:space="preserve"> undersøkt» i henholdsvis kolonne C og D.</w:t>
      </w:r>
      <w:r w:rsidR="006D1A19" w:rsidRPr="000F4998">
        <w:rPr>
          <w:rFonts w:cstheme="minorHAnsi"/>
          <w:lang w:val="nb-NO"/>
        </w:rPr>
        <w:t xml:space="preserve"> Figuren under viser hvor det er i malen.</w:t>
      </w:r>
    </w:p>
    <w:p w14:paraId="5F7A3206" w14:textId="54F24050" w:rsidR="00285CF7" w:rsidRDefault="00285CF7" w:rsidP="00447FEF">
      <w:pPr>
        <w:spacing w:after="0"/>
        <w:rPr>
          <w:rFonts w:cstheme="minorHAnsi"/>
          <w:lang w:val="nb-NO"/>
        </w:rPr>
      </w:pPr>
    </w:p>
    <w:p w14:paraId="6C9A1733" w14:textId="4A2D498E" w:rsidR="006B20C1" w:rsidRDefault="006B20C1" w:rsidP="00447FEF">
      <w:pPr>
        <w:spacing w:after="0"/>
        <w:rPr>
          <w:rFonts w:cstheme="minorHAnsi"/>
          <w:lang w:val="nb-NO"/>
        </w:rPr>
      </w:pPr>
      <w:r w:rsidRPr="00BE4182">
        <w:rPr>
          <w:rFonts w:cstheme="minorHAnsi"/>
          <w:noProof/>
          <w:lang w:val="nb-NO" w:eastAsia="nb-NO"/>
        </w:rPr>
        <mc:AlternateContent>
          <mc:Choice Requires="wps">
            <w:drawing>
              <wp:anchor distT="0" distB="0" distL="114300" distR="114300" simplePos="0" relativeHeight="251655680" behindDoc="0" locked="0" layoutInCell="1" allowOverlap="1" wp14:anchorId="40D44E67" wp14:editId="1B387958">
                <wp:simplePos x="0" y="0"/>
                <wp:positionH relativeFrom="column">
                  <wp:posOffset>297180</wp:posOffset>
                </wp:positionH>
                <wp:positionV relativeFrom="paragraph">
                  <wp:posOffset>210820</wp:posOffset>
                </wp:positionV>
                <wp:extent cx="327660" cy="2103120"/>
                <wp:effectExtent l="0" t="0" r="15240" b="11430"/>
                <wp:wrapNone/>
                <wp:docPr id="17" name="Oval 17"/>
                <wp:cNvGraphicFramePr/>
                <a:graphic xmlns:a="http://schemas.openxmlformats.org/drawingml/2006/main">
                  <a:graphicData uri="http://schemas.microsoft.com/office/word/2010/wordprocessingShape">
                    <wps:wsp>
                      <wps:cNvSpPr/>
                      <wps:spPr>
                        <a:xfrm>
                          <a:off x="0" y="0"/>
                          <a:ext cx="327660" cy="21031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C31054" id="Oval 17" o:spid="_x0000_s1026" style="position:absolute;margin-left:23.4pt;margin-top:16.6pt;width:25.8pt;height:16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" filled="f" strokecolor="red" strokeweight="2pt"/>
            </w:pict>
          </mc:Fallback>
        </mc:AlternateContent>
      </w:r>
      <w:r w:rsidRPr="00BE4182">
        <w:rPr>
          <w:rFonts w:cstheme="minorHAnsi"/>
          <w:noProof/>
          <w:lang w:val="nb-NO" w:eastAsia="nb-NO"/>
        </w:rPr>
        <mc:AlternateContent>
          <mc:Choice Requires="wps">
            <w:drawing>
              <wp:anchor distT="0" distB="0" distL="114300" distR="114300" simplePos="0" relativeHeight="251658752" behindDoc="0" locked="0" layoutInCell="1" allowOverlap="1" wp14:anchorId="7A303E8A" wp14:editId="3D4FBB97">
                <wp:simplePos x="0" y="0"/>
                <wp:positionH relativeFrom="column">
                  <wp:posOffset>640080</wp:posOffset>
                </wp:positionH>
                <wp:positionV relativeFrom="paragraph">
                  <wp:posOffset>210185</wp:posOffset>
                </wp:positionV>
                <wp:extent cx="301625" cy="2103755"/>
                <wp:effectExtent l="0" t="0" r="22225" b="10795"/>
                <wp:wrapNone/>
                <wp:docPr id="20" name="Oval 20"/>
                <wp:cNvGraphicFramePr/>
                <a:graphic xmlns:a="http://schemas.openxmlformats.org/drawingml/2006/main">
                  <a:graphicData uri="http://schemas.microsoft.com/office/word/2010/wordprocessingShape">
                    <wps:wsp>
                      <wps:cNvSpPr/>
                      <wps:spPr>
                        <a:xfrm>
                          <a:off x="0" y="0"/>
                          <a:ext cx="301625" cy="210375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524FC0" id="Oval 20" o:spid="_x0000_s1026" style="position:absolute;margin-left:50.4pt;margin-top:16.55pt;width:23.75pt;height:165.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" filled="f" strokecolor="red" strokeweight="2pt"/>
            </w:pict>
          </mc:Fallback>
        </mc:AlternateContent>
      </w:r>
      <w:r w:rsidRPr="006B20C1">
        <w:rPr>
          <w:rFonts w:cstheme="minorHAnsi"/>
          <w:noProof/>
          <w:lang w:val="nb-NO"/>
        </w:rPr>
        <w:drawing>
          <wp:inline distT="0" distB="0" distL="0" distR="0" wp14:anchorId="705EF45C" wp14:editId="5960D82E">
            <wp:extent cx="5943600" cy="23310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331085"/>
                    </a:xfrm>
                    <a:prstGeom prst="rect">
                      <a:avLst/>
                    </a:prstGeom>
                  </pic:spPr>
                </pic:pic>
              </a:graphicData>
            </a:graphic>
          </wp:inline>
        </w:drawing>
      </w:r>
    </w:p>
    <w:p w14:paraId="6E8D98C5" w14:textId="1F52E524" w:rsidR="00E0193E" w:rsidRPr="00BE4182" w:rsidRDefault="00E0193E" w:rsidP="00447FEF">
      <w:pPr>
        <w:spacing w:after="0"/>
        <w:rPr>
          <w:rFonts w:cstheme="minorHAnsi"/>
          <w:lang w:val="nb-NO"/>
        </w:rPr>
      </w:pPr>
    </w:p>
    <w:p w14:paraId="7A277CC8" w14:textId="13979DDF" w:rsidR="00285CF7" w:rsidRPr="00BE4182" w:rsidRDefault="00285CF7" w:rsidP="00447FEF">
      <w:pPr>
        <w:spacing w:after="0"/>
        <w:rPr>
          <w:rFonts w:cstheme="minorHAnsi"/>
          <w:lang w:val="nb-NO"/>
        </w:rPr>
      </w:pPr>
    </w:p>
    <w:p w14:paraId="57EAF3A0" w14:textId="335AE44B" w:rsidR="00551142" w:rsidRDefault="008A6626" w:rsidP="00447FEF">
      <w:pPr>
        <w:spacing w:after="0"/>
        <w:rPr>
          <w:rFonts w:cstheme="minorHAnsi"/>
          <w:lang w:val="nb-NO"/>
        </w:rPr>
      </w:pPr>
      <w:r w:rsidRPr="00BE4182">
        <w:rPr>
          <w:rFonts w:cstheme="minorHAnsi"/>
          <w:lang w:val="nb-NO"/>
        </w:rPr>
        <w:t>Grafen lages automatisk når dataene er lagt inn.</w:t>
      </w:r>
      <w:r w:rsidR="00FD2B15" w:rsidRPr="00BE4182">
        <w:rPr>
          <w:rFonts w:cstheme="minorHAnsi"/>
          <w:lang w:val="nb-NO"/>
        </w:rPr>
        <w:t xml:space="preserve"> </w:t>
      </w:r>
      <w:r w:rsidR="00452FDC" w:rsidRPr="00BE4182">
        <w:rPr>
          <w:rFonts w:cstheme="minorHAnsi"/>
          <w:lang w:val="nb-NO"/>
        </w:rPr>
        <w:t>Det lages også en tabell</w:t>
      </w:r>
      <w:r w:rsidR="00C000B8">
        <w:rPr>
          <w:rFonts w:cstheme="minorHAnsi"/>
          <w:lang w:val="nb-NO"/>
        </w:rPr>
        <w:t xml:space="preserve"> under grafen</w:t>
      </w:r>
      <w:r w:rsidR="00452FDC" w:rsidRPr="00BE4182">
        <w:rPr>
          <w:rFonts w:cstheme="minorHAnsi"/>
          <w:lang w:val="nb-NO"/>
        </w:rPr>
        <w:t xml:space="preserve"> som viser gjennomsnittlig andel </w:t>
      </w:r>
      <w:r w:rsidR="00EC7041">
        <w:rPr>
          <w:rFonts w:cstheme="minorHAnsi"/>
          <w:lang w:val="nb-NO"/>
        </w:rPr>
        <w:t>sykehusopphold</w:t>
      </w:r>
      <w:r w:rsidR="00452FDC" w:rsidRPr="00BE4182">
        <w:rPr>
          <w:rFonts w:cstheme="minorHAnsi"/>
          <w:lang w:val="nb-NO"/>
        </w:rPr>
        <w:t xml:space="preserve"> med</w:t>
      </w:r>
      <w:r w:rsidR="00EA0D80">
        <w:rPr>
          <w:rFonts w:cstheme="minorHAnsi"/>
          <w:lang w:val="nb-NO"/>
        </w:rPr>
        <w:t xml:space="preserve"> minst én</w:t>
      </w:r>
      <w:r w:rsidR="00452FDC" w:rsidRPr="00BE4182">
        <w:rPr>
          <w:rFonts w:cstheme="minorHAnsi"/>
          <w:lang w:val="nb-NO"/>
        </w:rPr>
        <w:t xml:space="preserve"> </w:t>
      </w:r>
      <w:r w:rsidR="00EA0D80">
        <w:rPr>
          <w:rFonts w:cstheme="minorHAnsi"/>
          <w:lang w:val="nb-NO"/>
        </w:rPr>
        <w:t>pasient</w:t>
      </w:r>
      <w:r w:rsidR="00452FDC" w:rsidRPr="00BE4182">
        <w:rPr>
          <w:rFonts w:cstheme="minorHAnsi"/>
          <w:lang w:val="nb-NO"/>
        </w:rPr>
        <w:t>skade</w:t>
      </w:r>
      <w:r w:rsidR="00A81831" w:rsidRPr="00BE4182">
        <w:rPr>
          <w:rFonts w:cstheme="minorHAnsi"/>
          <w:lang w:val="nb-NO"/>
        </w:rPr>
        <w:t xml:space="preserve"> per år</w:t>
      </w:r>
      <w:r w:rsidR="00452FDC" w:rsidRPr="00BE4182">
        <w:rPr>
          <w:rFonts w:cstheme="minorHAnsi"/>
          <w:lang w:val="nb-NO"/>
        </w:rPr>
        <w:t xml:space="preserve">. </w:t>
      </w:r>
      <w:r w:rsidR="00FB1FB5" w:rsidRPr="00BE4182">
        <w:rPr>
          <w:rFonts w:cstheme="minorHAnsi"/>
          <w:lang w:val="nb-NO"/>
        </w:rPr>
        <w:t>Grafen</w:t>
      </w:r>
      <w:r w:rsidR="001D00B5">
        <w:rPr>
          <w:rFonts w:cstheme="minorHAnsi"/>
          <w:lang w:val="nb-NO"/>
        </w:rPr>
        <w:t xml:space="preserve"> kan kopier</w:t>
      </w:r>
      <w:r w:rsidR="00662099">
        <w:rPr>
          <w:rFonts w:cstheme="minorHAnsi"/>
          <w:lang w:val="nb-NO"/>
        </w:rPr>
        <w:t>e</w:t>
      </w:r>
      <w:r w:rsidR="001D00B5">
        <w:rPr>
          <w:rFonts w:cstheme="minorHAnsi"/>
          <w:lang w:val="nb-NO"/>
        </w:rPr>
        <w:t xml:space="preserve">s </w:t>
      </w:r>
      <w:r w:rsidR="00D27D56">
        <w:rPr>
          <w:rFonts w:cstheme="minorHAnsi"/>
          <w:lang w:val="nb-NO"/>
        </w:rPr>
        <w:t>t</w:t>
      </w:r>
      <w:r w:rsidR="00285CF7" w:rsidRPr="00BE4182">
        <w:rPr>
          <w:rFonts w:cstheme="minorHAnsi"/>
          <w:lang w:val="nb-NO"/>
        </w:rPr>
        <w:t>i</w:t>
      </w:r>
      <w:r w:rsidR="00D27D56">
        <w:rPr>
          <w:rFonts w:cstheme="minorHAnsi"/>
          <w:lang w:val="nb-NO"/>
        </w:rPr>
        <w:t>l</w:t>
      </w:r>
      <w:r w:rsidR="00285CF7" w:rsidRPr="00BE4182">
        <w:rPr>
          <w:rFonts w:cstheme="minorHAnsi"/>
          <w:lang w:val="nb-NO"/>
        </w:rPr>
        <w:t xml:space="preserve"> rapporter eller presentasjoner. </w:t>
      </w:r>
      <w:r w:rsidR="00125E82" w:rsidRPr="00BE4182">
        <w:rPr>
          <w:rFonts w:cstheme="minorHAnsi"/>
          <w:lang w:val="nb-NO"/>
        </w:rPr>
        <w:t xml:space="preserve">Nedenfor vises et eksempel på </w:t>
      </w:r>
      <w:r w:rsidR="001D00B5">
        <w:rPr>
          <w:rFonts w:cstheme="minorHAnsi"/>
          <w:lang w:val="nb-NO"/>
        </w:rPr>
        <w:t xml:space="preserve">en </w:t>
      </w:r>
      <w:r w:rsidR="00517F5E">
        <w:rPr>
          <w:rFonts w:cstheme="minorHAnsi"/>
          <w:lang w:val="nb-NO"/>
        </w:rPr>
        <w:t>kontrollgraf</w:t>
      </w:r>
      <w:r w:rsidR="00662099">
        <w:rPr>
          <w:rFonts w:cstheme="minorHAnsi"/>
          <w:lang w:val="nb-NO"/>
        </w:rPr>
        <w:t xml:space="preserve"> med startår 2016</w:t>
      </w:r>
      <w:r w:rsidR="00E96843">
        <w:rPr>
          <w:rFonts w:cstheme="minorHAnsi"/>
          <w:lang w:val="nb-NO"/>
        </w:rPr>
        <w:t xml:space="preserve"> (dataene er fiktive)</w:t>
      </w:r>
      <w:r w:rsidR="00517F5E">
        <w:rPr>
          <w:rFonts w:cstheme="minorHAnsi"/>
          <w:lang w:val="nb-NO"/>
        </w:rPr>
        <w:t>.</w:t>
      </w:r>
    </w:p>
    <w:p w14:paraId="5BF68D6F" w14:textId="54F851EA" w:rsidR="00415130" w:rsidRDefault="00415130" w:rsidP="00447FEF">
      <w:pPr>
        <w:spacing w:after="0"/>
        <w:rPr>
          <w:rFonts w:cstheme="minorHAnsi"/>
          <w:lang w:val="nb-NO"/>
        </w:rPr>
      </w:pPr>
    </w:p>
    <w:p w14:paraId="556B4F4B" w14:textId="77777777" w:rsidR="00DA4049" w:rsidRDefault="00DA4049" w:rsidP="00447FEF">
      <w:pPr>
        <w:spacing w:after="0"/>
        <w:rPr>
          <w:rFonts w:cstheme="minorHAnsi"/>
          <w:lang w:val="nb-NO"/>
        </w:rPr>
      </w:pPr>
    </w:p>
    <w:p w14:paraId="2C9E36D0" w14:textId="2CD7B9EE" w:rsidR="00DA4049" w:rsidRPr="00BE4182" w:rsidRDefault="00DA4049" w:rsidP="00447FEF">
      <w:pPr>
        <w:spacing w:after="0"/>
        <w:rPr>
          <w:rFonts w:cstheme="minorHAnsi"/>
          <w:lang w:val="nb-NO"/>
        </w:rPr>
      </w:pPr>
      <w:r w:rsidRPr="00DA4049">
        <w:rPr>
          <w:rFonts w:cstheme="minorHAnsi"/>
          <w:noProof/>
          <w:lang w:val="nb-NO"/>
        </w:rPr>
        <w:drawing>
          <wp:inline distT="0" distB="0" distL="0" distR="0" wp14:anchorId="6B04B2B4" wp14:editId="03205CE0">
            <wp:extent cx="5943600" cy="2332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332990"/>
                    </a:xfrm>
                    <a:prstGeom prst="rect">
                      <a:avLst/>
                    </a:prstGeom>
                  </pic:spPr>
                </pic:pic>
              </a:graphicData>
            </a:graphic>
          </wp:inline>
        </w:drawing>
      </w:r>
    </w:p>
    <w:p w14:paraId="431C90B1" w14:textId="7BF2E24A" w:rsidR="00C953AB" w:rsidRDefault="00C953AB">
      <w:pPr>
        <w:rPr>
          <w:rFonts w:ascii="Arial" w:hAnsi="Arial" w:cs="Arial"/>
          <w:lang w:val="nb-NO"/>
        </w:rPr>
      </w:pPr>
      <w:r>
        <w:rPr>
          <w:rFonts w:ascii="Arial" w:hAnsi="Arial" w:cs="Arial"/>
          <w:lang w:val="nb-NO"/>
        </w:rPr>
        <w:br w:type="page"/>
      </w:r>
    </w:p>
    <w:p w14:paraId="729A8F26" w14:textId="6FEDBDD8" w:rsidR="00551142" w:rsidRPr="00551142" w:rsidRDefault="00551142" w:rsidP="00447FEF">
      <w:pPr>
        <w:pStyle w:val="Overskrift1"/>
        <w:rPr>
          <w:lang w:val="nb-NO"/>
        </w:rPr>
      </w:pPr>
      <w:r w:rsidRPr="00551142">
        <w:rPr>
          <w:lang w:val="nb-NO"/>
        </w:rPr>
        <w:lastRenderedPageBreak/>
        <w:t>Hva er en kontrollgraf og hvordan skal den forstås</w:t>
      </w:r>
    </w:p>
    <w:p w14:paraId="2E729BA4" w14:textId="77777777" w:rsidR="00447FEF" w:rsidRDefault="00447FEF" w:rsidP="00447FEF">
      <w:pPr>
        <w:spacing w:after="0"/>
        <w:rPr>
          <w:lang w:val="nb-NO"/>
        </w:rPr>
      </w:pPr>
    </w:p>
    <w:p w14:paraId="7DC9BFB6" w14:textId="77777777" w:rsidR="00551142" w:rsidRPr="00551142" w:rsidRDefault="00551142" w:rsidP="00447FEF">
      <w:pPr>
        <w:spacing w:after="0"/>
        <w:rPr>
          <w:lang w:val="nb-NO"/>
        </w:rPr>
      </w:pPr>
      <w:r w:rsidRPr="00551142">
        <w:rPr>
          <w:lang w:val="nb-NO"/>
        </w:rPr>
        <w:t xml:space="preserve">En kontrollgraf viser hvordan utviklingen av andel sykehusopphold med minst én pasientskade varierer lokalt over tid for den populasjonen som dataene i grafen representerer. Kontrollgrafen er et verktøy som gir mulighet til å varsle om en uheldig utvikling på et tidlig tidspunkt slik at tiltak kan settes inn for å forebygge skader. Grafen kan brukes til internt forbedringsarbeid, og er ikke et analyseverktøy laget for å sammenligne helseforetak, sykehus eller fagområder. </w:t>
      </w:r>
    </w:p>
    <w:p w14:paraId="3FCCA0DA" w14:textId="77777777" w:rsidR="00551142" w:rsidRPr="00551142" w:rsidRDefault="00551142" w:rsidP="00447FEF">
      <w:pPr>
        <w:spacing w:after="0"/>
        <w:rPr>
          <w:lang w:val="nb-NO"/>
        </w:rPr>
      </w:pPr>
    </w:p>
    <w:p w14:paraId="2843AF3A" w14:textId="77777777" w:rsidR="00551142" w:rsidRPr="00551142" w:rsidRDefault="00551142" w:rsidP="00447FEF">
      <w:pPr>
        <w:spacing w:after="0"/>
        <w:rPr>
          <w:lang w:val="nb-NO"/>
        </w:rPr>
      </w:pPr>
      <w:r w:rsidRPr="00551142">
        <w:rPr>
          <w:lang w:val="nb-NO"/>
        </w:rPr>
        <w:t xml:space="preserve">Den </w:t>
      </w:r>
      <w:r w:rsidRPr="00551142">
        <w:rPr>
          <w:b/>
          <w:lang w:val="nb-NO"/>
        </w:rPr>
        <w:t>brune stiplede linjen</w:t>
      </w:r>
      <w:r w:rsidRPr="00551142">
        <w:rPr>
          <w:lang w:val="nb-NO"/>
        </w:rPr>
        <w:t xml:space="preserve"> viser andel sykehusopphold med minst én pasientskade (i prosent) for hver gang det trekkes journaler, som er to ganger i måneden.</w:t>
      </w:r>
    </w:p>
    <w:p w14:paraId="47A60A5A" w14:textId="77777777" w:rsidR="00551142" w:rsidRPr="00551142" w:rsidRDefault="00551142" w:rsidP="00447FEF">
      <w:pPr>
        <w:spacing w:after="0"/>
        <w:rPr>
          <w:lang w:val="nb-NO"/>
        </w:rPr>
      </w:pPr>
    </w:p>
    <w:p w14:paraId="47E80712" w14:textId="77777777" w:rsidR="00551142" w:rsidRPr="00551142" w:rsidRDefault="00551142" w:rsidP="00447FEF">
      <w:pPr>
        <w:spacing w:after="0"/>
        <w:rPr>
          <w:lang w:val="nb-NO"/>
        </w:rPr>
      </w:pPr>
      <w:r w:rsidRPr="00551142">
        <w:rPr>
          <w:lang w:val="nb-NO"/>
        </w:rPr>
        <w:t xml:space="preserve">Den </w:t>
      </w:r>
      <w:r w:rsidRPr="00551142">
        <w:rPr>
          <w:b/>
          <w:lang w:val="nb-NO"/>
        </w:rPr>
        <w:t>heltrukne sorte linjen</w:t>
      </w:r>
      <w:r w:rsidRPr="00551142">
        <w:rPr>
          <w:lang w:val="nb-NO"/>
        </w:rPr>
        <w:t xml:space="preserve"> viser glattede data, som er et glidende gjennomsnitt av resultatene fra de 10 siste gangene det er trukket journaler. Dette reduserer inntrykket av den tilfeldige variasjonen, som er stor fordi det trekkes så få journaler hver gang. Den heltrukne sorte linjen må tolkes sammen med de enkeltstående datapunktene for å vurdere utviklingen. </w:t>
      </w:r>
    </w:p>
    <w:p w14:paraId="2B64185B" w14:textId="77777777" w:rsidR="00551142" w:rsidRPr="00551142" w:rsidRDefault="00551142" w:rsidP="00447FEF">
      <w:pPr>
        <w:spacing w:after="0"/>
        <w:rPr>
          <w:lang w:val="nb-NO"/>
        </w:rPr>
      </w:pPr>
    </w:p>
    <w:p w14:paraId="3A07143B" w14:textId="77777777" w:rsidR="00551142" w:rsidRPr="00551142" w:rsidRDefault="00551142" w:rsidP="00447FEF">
      <w:pPr>
        <w:spacing w:after="0"/>
        <w:rPr>
          <w:lang w:val="nb-NO"/>
        </w:rPr>
      </w:pPr>
      <w:r w:rsidRPr="00551142">
        <w:rPr>
          <w:lang w:val="nb-NO"/>
        </w:rPr>
        <w:t xml:space="preserve">Den </w:t>
      </w:r>
      <w:r w:rsidRPr="00551142">
        <w:rPr>
          <w:b/>
          <w:lang w:val="nb-NO"/>
        </w:rPr>
        <w:t>stiplede sorte linjen</w:t>
      </w:r>
      <w:r w:rsidRPr="00551142">
        <w:rPr>
          <w:lang w:val="nb-NO"/>
        </w:rPr>
        <w:t xml:space="preserve"> viser gjennomsnittlig andel sykehusopphold med minst én pasientskade fra året før inneværende år, og blir derfor en referanseverdi for skadenivået året før (heretter kalt referanseverdien). </w:t>
      </w:r>
    </w:p>
    <w:p w14:paraId="3C9FE59D" w14:textId="77777777" w:rsidR="00551142" w:rsidRPr="00551142" w:rsidRDefault="00551142" w:rsidP="00447FEF">
      <w:pPr>
        <w:spacing w:after="0"/>
        <w:rPr>
          <w:lang w:val="nb-NO"/>
        </w:rPr>
      </w:pPr>
    </w:p>
    <w:p w14:paraId="5D388B21" w14:textId="77777777" w:rsidR="00551142" w:rsidRPr="00551142" w:rsidRDefault="00551142" w:rsidP="00447FEF">
      <w:pPr>
        <w:spacing w:after="0"/>
        <w:rPr>
          <w:lang w:val="nb-NO"/>
        </w:rPr>
      </w:pPr>
      <w:r w:rsidRPr="00551142">
        <w:rPr>
          <w:lang w:val="nb-NO"/>
        </w:rPr>
        <w:t xml:space="preserve">De </w:t>
      </w:r>
      <w:r w:rsidRPr="00551142">
        <w:rPr>
          <w:b/>
          <w:lang w:val="nb-NO"/>
        </w:rPr>
        <w:t>røde og blå linjene</w:t>
      </w:r>
      <w:r w:rsidRPr="00551142">
        <w:rPr>
          <w:lang w:val="nb-NO"/>
        </w:rPr>
        <w:t xml:space="preserve"> er usikkerhetsintervaller for referanseverdiene, og utgjør kontrollgrenser for de glattede dataene. Kontrollgrensene er altså beregnet basert på data fra fjoråret</w:t>
      </w:r>
      <w:r w:rsidRPr="001C5A33">
        <w:rPr>
          <w:rStyle w:val="Fotnotereferanse"/>
        </w:rPr>
        <w:footnoteReference w:id="2"/>
      </w:r>
      <w:r w:rsidRPr="00551142">
        <w:rPr>
          <w:lang w:val="nb-NO"/>
        </w:rPr>
        <w:t>. De to røde linjene og de to blå linjene markerer henholdsvis 2 og 3 standardavvik over og under referanseverdien.</w:t>
      </w:r>
    </w:p>
    <w:p w14:paraId="5D3E5BAF" w14:textId="77777777" w:rsidR="00551142" w:rsidRPr="00551142" w:rsidRDefault="00551142" w:rsidP="00447FEF">
      <w:pPr>
        <w:spacing w:after="0"/>
        <w:rPr>
          <w:lang w:val="nb-NO"/>
        </w:rPr>
      </w:pPr>
    </w:p>
    <w:p w14:paraId="3C503B97" w14:textId="3F06DE2C" w:rsidR="00551142" w:rsidRPr="00551142" w:rsidRDefault="00551142" w:rsidP="00447FEF">
      <w:pPr>
        <w:spacing w:after="0"/>
        <w:rPr>
          <w:lang w:val="nb-NO"/>
        </w:rPr>
      </w:pPr>
      <w:r w:rsidRPr="00551142">
        <w:rPr>
          <w:lang w:val="nb-NO"/>
        </w:rPr>
        <w:t xml:space="preserve">Denne måten å lage kontrollgrafer på gjør det enkelt å sammenligne andel pasientopphold med minst én pasientskade i inneværende år med nivået året før. Målet er enten å redusere antall skader eller å sikre et lavt nivå. </w:t>
      </w:r>
      <w:r w:rsidRPr="00551142">
        <w:rPr>
          <w:b/>
          <w:lang w:val="nb-NO"/>
        </w:rPr>
        <w:t>Dersom det glidende gjennomsnittet (heltrukken sort linje) kommer over de øvre kontrollgrensene, er det en indikasjon på at andel skader er i ferd med å øke utover nivået i foregående år</w:t>
      </w:r>
      <w:r w:rsidRPr="00551142">
        <w:rPr>
          <w:lang w:val="nb-NO"/>
        </w:rPr>
        <w:t xml:space="preserve">. </w:t>
      </w:r>
    </w:p>
    <w:p w14:paraId="6D0AE2B9" w14:textId="77777777" w:rsidR="00551142" w:rsidRPr="00551142" w:rsidRDefault="00551142" w:rsidP="00447FEF">
      <w:pPr>
        <w:spacing w:after="0"/>
        <w:rPr>
          <w:lang w:val="nb-NO"/>
        </w:rPr>
      </w:pPr>
    </w:p>
    <w:p w14:paraId="4C4D6CF8" w14:textId="70931579" w:rsidR="004354DA" w:rsidRPr="004354DA" w:rsidRDefault="004354DA" w:rsidP="004354DA">
      <w:pPr>
        <w:rPr>
          <w:lang w:val="nb-NO"/>
        </w:rPr>
      </w:pPr>
      <w:r w:rsidRPr="004354DA">
        <w:rPr>
          <w:szCs w:val="24"/>
          <w:lang w:val="nb-NO"/>
        </w:rPr>
        <w:t xml:space="preserve">Det er mulig å sammenligne nivået i et år med et hvilket som helst tidligere år ved å se på den stiplede sorte linjen for det aktuelle året. </w:t>
      </w:r>
    </w:p>
    <w:p w14:paraId="4827FBE0" w14:textId="77777777" w:rsidR="005D2E5B" w:rsidRDefault="005D2E5B">
      <w:pPr>
        <w:rPr>
          <w:rFonts w:ascii="Arial" w:hAnsi="Arial" w:cs="Arial"/>
          <w:lang w:val="nb-NO"/>
        </w:rPr>
      </w:pPr>
      <w:r>
        <w:rPr>
          <w:rFonts w:ascii="Arial" w:hAnsi="Arial" w:cs="Arial"/>
          <w:lang w:val="nb-NO"/>
        </w:rPr>
        <w:br w:type="page"/>
      </w:r>
    </w:p>
    <w:p w14:paraId="40F69917" w14:textId="6A614D8C" w:rsidR="003D022D" w:rsidRPr="003D022D" w:rsidRDefault="003D022D" w:rsidP="003D022D">
      <w:pPr>
        <w:pStyle w:val="Overskrift1"/>
        <w:rPr>
          <w:lang w:val="nb-NO"/>
        </w:rPr>
      </w:pPr>
      <w:r w:rsidRPr="003D022D">
        <w:rPr>
          <w:lang w:val="nb-NO"/>
        </w:rPr>
        <w:lastRenderedPageBreak/>
        <w:t>Vedlegg 1 – Detaljert beskrivelse av beregning</w:t>
      </w:r>
      <w:r w:rsidR="004D7C19">
        <w:rPr>
          <w:lang w:val="nb-NO"/>
        </w:rPr>
        <w:t xml:space="preserve"> av kontrollgrenser</w:t>
      </w:r>
    </w:p>
    <w:p w14:paraId="4F5BE397" w14:textId="77777777" w:rsidR="003D022D" w:rsidRPr="003D022D" w:rsidRDefault="003D022D" w:rsidP="003D022D">
      <w:pPr>
        <w:rPr>
          <w:lang w:val="nb-NO"/>
        </w:rPr>
      </w:pPr>
    </w:p>
    <w:p w14:paraId="415583A2" w14:textId="77777777" w:rsidR="003D022D" w:rsidRPr="009F5EFE" w:rsidRDefault="003D022D" w:rsidP="003D022D">
      <w:pPr>
        <w:rPr>
          <w:lang w:val="nb-NO"/>
        </w:rPr>
      </w:pPr>
      <w:r w:rsidRPr="009F5EFE">
        <w:rPr>
          <w:lang w:val="nb-NO"/>
        </w:rPr>
        <w:t>De røde og blå linjene er usikkerhetsintervaller for referanseverdiene, og utgjør kontrollgrenser for de glattede dataene. Kontrollgrensene for en prosentandel beregnes på følgende måte</w:t>
      </w:r>
      <w:r w:rsidRPr="009F5EFE">
        <w:rPr>
          <w:vertAlign w:val="superscript"/>
          <w:lang w:val="nb-NO"/>
        </w:rPr>
        <w:footnoteReference w:id="3"/>
      </w:r>
      <w:r w:rsidRPr="009F5EFE">
        <w:rPr>
          <w:lang w:val="nb-NO"/>
        </w:rPr>
        <w:t>:</w:t>
      </w:r>
    </w:p>
    <w:p w14:paraId="08A7B812" w14:textId="77777777" w:rsidR="003D022D" w:rsidRPr="00345712" w:rsidRDefault="00C71D19" w:rsidP="003D022D">
      <m:oMathPara>
        <m:oMath>
          <m:acc>
            <m:accPr>
              <m:chr m:val="̅"/>
              <m:ctrlPr>
                <w:rPr>
                  <w:rFonts w:ascii="Cambria Math" w:hAnsi="Cambria Math"/>
                  <w:i/>
                </w:rPr>
              </m:ctrlPr>
            </m:accPr>
            <m:e>
              <m:r>
                <w:rPr>
                  <w:rFonts w:ascii="Cambria Math" w:hAnsi="Cambria Math"/>
                </w:rPr>
                <m:t>p</m:t>
              </m:r>
            </m:e>
          </m:acc>
          <m:r>
            <w:rPr>
              <w:rFonts w:ascii="Cambria Math" w:hAnsi="Cambria Math"/>
            </w:rPr>
            <m:t>±z</m:t>
          </m:r>
          <m:rad>
            <m:radPr>
              <m:degHide m:val="1"/>
              <m:ctrlPr>
                <w:rPr>
                  <w:rFonts w:ascii="Cambria Math" w:hAnsi="Cambria Math"/>
                  <w:i/>
                </w:rPr>
              </m:ctrlPr>
            </m:radPr>
            <m:deg/>
            <m:e>
              <m:f>
                <m:fPr>
                  <m:ctrlPr>
                    <w:rPr>
                      <w:rFonts w:ascii="Cambria Math" w:hAnsi="Cambria Math"/>
                      <w:i/>
                    </w:rPr>
                  </m:ctrlPr>
                </m:fPr>
                <m:num>
                  <m:acc>
                    <m:accPr>
                      <m:chr m:val="̅"/>
                      <m:ctrlPr>
                        <w:rPr>
                          <w:rFonts w:ascii="Cambria Math" w:hAnsi="Cambria Math"/>
                          <w:i/>
                        </w:rPr>
                      </m:ctrlPr>
                    </m:accPr>
                    <m:e>
                      <m:r>
                        <w:rPr>
                          <w:rFonts w:ascii="Cambria Math" w:hAnsi="Cambria Math"/>
                        </w:rPr>
                        <m:t>p</m:t>
                      </m:r>
                    </m:e>
                  </m:acc>
                  <m:r>
                    <w:rPr>
                      <w:rFonts w:ascii="Cambria Math" w:hAnsi="Cambria Math"/>
                    </w:rPr>
                    <m:t>(1-</m:t>
                  </m:r>
                  <m:acc>
                    <m:accPr>
                      <m:chr m:val="̅"/>
                      <m:ctrlPr>
                        <w:rPr>
                          <w:rFonts w:ascii="Cambria Math" w:hAnsi="Cambria Math"/>
                          <w:i/>
                        </w:rPr>
                      </m:ctrlPr>
                    </m:accPr>
                    <m:e>
                      <m:r>
                        <w:rPr>
                          <w:rFonts w:ascii="Cambria Math" w:hAnsi="Cambria Math"/>
                        </w:rPr>
                        <m:t>p</m:t>
                      </m:r>
                    </m:e>
                  </m:acc>
                  <m:r>
                    <w:rPr>
                      <w:rFonts w:ascii="Cambria Math" w:hAnsi="Cambria Math"/>
                    </w:rPr>
                    <m:t>)</m:t>
                  </m:r>
                </m:num>
                <m:den>
                  <m:r>
                    <w:rPr>
                      <w:rFonts w:ascii="Cambria Math" w:hAnsi="Cambria Math"/>
                    </w:rPr>
                    <m:t>n</m:t>
                  </m:r>
                </m:den>
              </m:f>
            </m:e>
          </m:rad>
        </m:oMath>
      </m:oMathPara>
    </w:p>
    <w:p w14:paraId="254D3254" w14:textId="724AC9F4" w:rsidR="003D022D" w:rsidRPr="00DF1C32" w:rsidRDefault="003D022D" w:rsidP="003D022D">
      <w:pPr>
        <w:rPr>
          <w:lang w:val="nb-NO"/>
        </w:rPr>
      </w:pPr>
      <w:r w:rsidRPr="003D022D">
        <w:rPr>
          <w:lang w:val="nb-NO"/>
        </w:rPr>
        <w:t xml:space="preserve">Gjennomsnittsverdien for året før, </w:t>
      </w:r>
      <m:oMath>
        <m:acc>
          <m:accPr>
            <m:chr m:val="̅"/>
            <m:ctrlPr>
              <w:rPr>
                <w:rFonts w:ascii="Cambria Math" w:hAnsi="Cambria Math"/>
                <w:i/>
              </w:rPr>
            </m:ctrlPr>
          </m:accPr>
          <m:e>
            <m:r>
              <w:rPr>
                <w:rFonts w:ascii="Cambria Math" w:hAnsi="Cambria Math"/>
              </w:rPr>
              <m:t>p</m:t>
            </m:r>
          </m:e>
        </m:acc>
      </m:oMath>
      <w:r w:rsidRPr="003D022D">
        <w:rPr>
          <w:lang w:val="nb-NO"/>
        </w:rPr>
        <w:t xml:space="preserve">, beregnes basert på alle journalene som var undersøkt det året. </w:t>
      </w:r>
      <w:r w:rsidR="002B15EA">
        <w:rPr>
          <w:lang w:val="nb-NO"/>
        </w:rPr>
        <w:t>D</w:t>
      </w:r>
      <w:r w:rsidRPr="003D022D">
        <w:rPr>
          <w:lang w:val="nb-NO"/>
        </w:rPr>
        <w:t>e fleste team undersøker 240 journaler per år (10 journaler i 24 perioder). Siden kontrollgrensene gjelder for glattede data</w:t>
      </w:r>
      <w:r w:rsidR="009F5EFE">
        <w:rPr>
          <w:lang w:val="nb-NO"/>
        </w:rPr>
        <w:t>,</w:t>
      </w:r>
      <w:r w:rsidRPr="003D022D">
        <w:rPr>
          <w:lang w:val="nb-NO"/>
        </w:rPr>
        <w:t xml:space="preserve"> er n=100 (antall observasjoner det glidende gjennomsnittet er basert på) </w:t>
      </w:r>
      <w:r w:rsidRPr="00345712">
        <w:rPr>
          <w:vertAlign w:val="superscript"/>
        </w:rPr>
        <w:footnoteReference w:id="4"/>
      </w:r>
      <w:r w:rsidRPr="003D022D">
        <w:rPr>
          <w:lang w:val="nb-NO"/>
        </w:rPr>
        <w:t xml:space="preserve">. (Standardavviket til gjennomsnittet for data fra en binomisk fordeling med sannsynlighet </w:t>
      </w:r>
      <m:oMath>
        <m:acc>
          <m:accPr>
            <m:chr m:val="̅"/>
            <m:ctrlPr>
              <w:rPr>
                <w:rFonts w:ascii="Cambria Math" w:hAnsi="Cambria Math"/>
                <w:i/>
              </w:rPr>
            </m:ctrlPr>
          </m:accPr>
          <m:e>
            <m:r>
              <w:rPr>
                <w:rFonts w:ascii="Cambria Math" w:hAnsi="Cambria Math"/>
              </w:rPr>
              <m:t>p</m:t>
            </m:r>
            <m:r>
              <w:rPr>
                <w:rFonts w:ascii="Cambria Math" w:hAnsi="Cambria Math"/>
                <w:lang w:val="nb-NO"/>
              </w:rPr>
              <m:t xml:space="preserve"> </m:t>
            </m:r>
          </m:e>
        </m:acc>
        <m:r>
          <w:rPr>
            <w:rFonts w:ascii="Cambria Math" w:hAnsi="Cambria Math"/>
            <w:lang w:val="nb-NO"/>
          </w:rPr>
          <m:t xml:space="preserve"> </m:t>
        </m:r>
      </m:oMath>
      <w:r w:rsidRPr="003D022D">
        <w:rPr>
          <w:lang w:val="nb-NO"/>
        </w:rPr>
        <w:t xml:space="preserve">er </w:t>
      </w:r>
      <m:oMath>
        <m:rad>
          <m:radPr>
            <m:degHide m:val="1"/>
            <m:ctrlPr>
              <w:rPr>
                <w:rFonts w:ascii="Cambria Math" w:hAnsi="Cambria Math"/>
                <w:i/>
              </w:rPr>
            </m:ctrlPr>
          </m:radPr>
          <m:deg/>
          <m:e>
            <m:f>
              <m:fPr>
                <m:ctrlPr>
                  <w:rPr>
                    <w:rFonts w:ascii="Cambria Math" w:hAnsi="Cambria Math"/>
                    <w:i/>
                  </w:rPr>
                </m:ctrlPr>
              </m:fPr>
              <m:num>
                <m:acc>
                  <m:accPr>
                    <m:chr m:val="̅"/>
                    <m:ctrlPr>
                      <w:rPr>
                        <w:rFonts w:ascii="Cambria Math" w:hAnsi="Cambria Math"/>
                        <w:i/>
                      </w:rPr>
                    </m:ctrlPr>
                  </m:accPr>
                  <m:e>
                    <m:r>
                      <w:rPr>
                        <w:rFonts w:ascii="Cambria Math" w:hAnsi="Cambria Math"/>
                      </w:rPr>
                      <m:t>p</m:t>
                    </m:r>
                  </m:e>
                </m:acc>
                <m:r>
                  <w:rPr>
                    <w:rFonts w:ascii="Cambria Math" w:hAnsi="Cambria Math"/>
                    <w:lang w:val="nb-NO"/>
                  </w:rPr>
                  <m:t>(1-</m:t>
                </m:r>
                <m:acc>
                  <m:accPr>
                    <m:chr m:val="̅"/>
                    <m:ctrlPr>
                      <w:rPr>
                        <w:rFonts w:ascii="Cambria Math" w:hAnsi="Cambria Math"/>
                        <w:i/>
                      </w:rPr>
                    </m:ctrlPr>
                  </m:accPr>
                  <m:e>
                    <m:r>
                      <w:rPr>
                        <w:rFonts w:ascii="Cambria Math" w:hAnsi="Cambria Math"/>
                      </w:rPr>
                      <m:t>p</m:t>
                    </m:r>
                  </m:e>
                </m:acc>
                <m:r>
                  <w:rPr>
                    <w:rFonts w:ascii="Cambria Math" w:hAnsi="Cambria Math"/>
                    <w:lang w:val="nb-NO"/>
                  </w:rPr>
                  <m:t>)</m:t>
                </m:r>
              </m:num>
              <m:den>
                <m:r>
                  <w:rPr>
                    <w:rFonts w:ascii="Cambria Math" w:hAnsi="Cambria Math"/>
                  </w:rPr>
                  <m:t>n</m:t>
                </m:r>
              </m:den>
            </m:f>
          </m:e>
        </m:rad>
      </m:oMath>
      <w:r w:rsidRPr="003D022D">
        <w:rPr>
          <w:lang w:val="nb-NO"/>
        </w:rPr>
        <w:t xml:space="preserve">). </w:t>
      </w:r>
      <w:r w:rsidRPr="00DF1C32">
        <w:rPr>
          <w:lang w:val="nb-NO"/>
        </w:rPr>
        <w:t xml:space="preserve">Størrelsen </w:t>
      </w:r>
      <m:oMath>
        <m:r>
          <w:rPr>
            <w:rFonts w:ascii="Cambria Math" w:hAnsi="Cambria Math"/>
            <w:lang w:val="nb-NO"/>
          </w:rPr>
          <m:t>z</m:t>
        </m:r>
      </m:oMath>
      <w:r w:rsidRPr="00DF1C32">
        <w:rPr>
          <w:lang w:val="nb-NO"/>
        </w:rPr>
        <w:t xml:space="preserve"> settes som oftest til 3 i beregning av kontrollgrenser. Vi har i tillegg valgt å vise kontroll</w:t>
      </w:r>
      <w:r w:rsidR="009A3AD6">
        <w:rPr>
          <w:lang w:val="nb-NO"/>
        </w:rPr>
        <w:t>-</w:t>
      </w:r>
      <w:r w:rsidRPr="00DF1C32">
        <w:rPr>
          <w:lang w:val="nb-NO"/>
        </w:rPr>
        <w:t xml:space="preserve">grensene basert på </w:t>
      </w:r>
      <m:oMath>
        <m:r>
          <w:rPr>
            <w:rFonts w:ascii="Cambria Math" w:hAnsi="Cambria Math"/>
            <w:lang w:val="nb-NO"/>
          </w:rPr>
          <m:t>z=2</m:t>
        </m:r>
      </m:oMath>
      <w:r w:rsidRPr="00DF1C32">
        <w:rPr>
          <w:rFonts w:eastAsiaTheme="minorEastAsia"/>
          <w:lang w:val="nb-NO"/>
        </w:rPr>
        <w:t xml:space="preserve"> i figurene.</w:t>
      </w:r>
      <w:r w:rsidRPr="00DF1C32">
        <w:rPr>
          <w:lang w:val="nb-NO"/>
        </w:rPr>
        <w:t xml:space="preserve"> Kontrollgrensene er begrenset til å være mellom 0 og 100</w:t>
      </w:r>
      <w:r w:rsidRPr="00DF1C32">
        <w:rPr>
          <w:vertAlign w:val="superscript"/>
          <w:lang w:val="nb-NO"/>
        </w:rPr>
        <w:footnoteReference w:id="5"/>
      </w:r>
      <w:r w:rsidRPr="00DF1C32">
        <w:rPr>
          <w:lang w:val="nb-NO"/>
        </w:rPr>
        <w:t xml:space="preserve">. De to røde linjene og de to blå linjene markerer altså henholdsvis 2 og 3 standardavvik over og under referanseverdien. For team som trekker flere enn 10 journaler per periode vil de glattede dataene være basert på flere observasjoner (f.eks. 200, om </w:t>
      </w:r>
      <w:r w:rsidR="002B15EA" w:rsidRPr="00DF1C32">
        <w:rPr>
          <w:lang w:val="nb-NO"/>
        </w:rPr>
        <w:t>det</w:t>
      </w:r>
      <w:r w:rsidRPr="00DF1C32">
        <w:rPr>
          <w:lang w:val="nb-NO"/>
        </w:rPr>
        <w:t xml:space="preserve"> trekke</w:t>
      </w:r>
      <w:r w:rsidR="002B15EA" w:rsidRPr="00DF1C32">
        <w:rPr>
          <w:lang w:val="nb-NO"/>
        </w:rPr>
        <w:t>s</w:t>
      </w:r>
      <w:r w:rsidRPr="00DF1C32">
        <w:rPr>
          <w:lang w:val="nb-NO"/>
        </w:rPr>
        <w:t xml:space="preserve"> 20 journaler per periode). Dersom antall journaler som undersøkes i hver periode</w:t>
      </w:r>
      <w:r w:rsidR="002B15EA" w:rsidRPr="00DF1C32">
        <w:rPr>
          <w:lang w:val="nb-NO"/>
        </w:rPr>
        <w:t xml:space="preserve"> øker</w:t>
      </w:r>
      <w:r w:rsidRPr="00DF1C32">
        <w:rPr>
          <w:lang w:val="nb-NO"/>
        </w:rPr>
        <w:t xml:space="preserve"> i løpet av tidsperioden som plottes, vil kontrollgrensene i en overgangsperiode ikke være horisontale, men gradvis danne et smalere «bånd». Dette skyldes at det glidende gjennomsnittet gradvis er basert på flere datapunkter. Etter 10 perioder vil grensene igjen være horisontale.</w:t>
      </w:r>
    </w:p>
    <w:p w14:paraId="1D90854D" w14:textId="77777777" w:rsidR="003D022D" w:rsidRPr="00FD66A4" w:rsidRDefault="003D022D" w:rsidP="00447FEF">
      <w:pPr>
        <w:spacing w:after="0"/>
        <w:rPr>
          <w:rFonts w:ascii="Arial" w:hAnsi="Arial" w:cs="Arial"/>
          <w:lang w:val="nb-NO"/>
        </w:rPr>
      </w:pPr>
    </w:p>
    <w:sectPr w:rsidR="003D022D" w:rsidRPr="00FD66A4">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28ED6" w14:textId="77777777" w:rsidR="00783B0B" w:rsidRDefault="00783B0B" w:rsidP="00783B0B">
      <w:pPr>
        <w:spacing w:after="0" w:line="240" w:lineRule="auto"/>
      </w:pPr>
      <w:r>
        <w:separator/>
      </w:r>
    </w:p>
  </w:endnote>
  <w:endnote w:type="continuationSeparator" w:id="0">
    <w:p w14:paraId="07C3F875" w14:textId="77777777" w:rsidR="00783B0B" w:rsidRDefault="00783B0B" w:rsidP="00783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70546"/>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1A1946D6" w14:textId="28D88261" w:rsidR="00011327" w:rsidRPr="004D7C19" w:rsidRDefault="00011327">
            <w:pPr>
              <w:pStyle w:val="Bunntekst"/>
              <w:jc w:val="right"/>
              <w:rPr>
                <w:sz w:val="20"/>
                <w:szCs w:val="20"/>
              </w:rPr>
            </w:pPr>
            <w:r w:rsidRPr="004D7C19">
              <w:rPr>
                <w:sz w:val="20"/>
                <w:szCs w:val="20"/>
              </w:rPr>
              <w:t xml:space="preserve">Side </w:t>
            </w:r>
            <w:r w:rsidRPr="004D7C19">
              <w:rPr>
                <w:b/>
                <w:bCs/>
              </w:rPr>
              <w:fldChar w:fldCharType="begin"/>
            </w:r>
            <w:r w:rsidRPr="004D7C19">
              <w:rPr>
                <w:b/>
                <w:bCs/>
                <w:sz w:val="20"/>
                <w:szCs w:val="20"/>
              </w:rPr>
              <w:instrText xml:space="preserve"> PAGE </w:instrText>
            </w:r>
            <w:r w:rsidRPr="004D7C19">
              <w:rPr>
                <w:b/>
                <w:bCs/>
              </w:rPr>
              <w:fldChar w:fldCharType="separate"/>
            </w:r>
            <w:r w:rsidRPr="004D7C19">
              <w:rPr>
                <w:b/>
                <w:bCs/>
                <w:noProof/>
                <w:sz w:val="20"/>
                <w:szCs w:val="20"/>
              </w:rPr>
              <w:t>2</w:t>
            </w:r>
            <w:r w:rsidRPr="004D7C19">
              <w:rPr>
                <w:b/>
                <w:bCs/>
              </w:rPr>
              <w:fldChar w:fldCharType="end"/>
            </w:r>
            <w:r w:rsidRPr="004D7C19">
              <w:rPr>
                <w:sz w:val="20"/>
                <w:szCs w:val="20"/>
              </w:rPr>
              <w:t xml:space="preserve"> av </w:t>
            </w:r>
            <w:r w:rsidRPr="004D7C19">
              <w:rPr>
                <w:b/>
                <w:bCs/>
              </w:rPr>
              <w:fldChar w:fldCharType="begin"/>
            </w:r>
            <w:r w:rsidRPr="004D7C19">
              <w:rPr>
                <w:b/>
                <w:bCs/>
                <w:sz w:val="20"/>
                <w:szCs w:val="20"/>
              </w:rPr>
              <w:instrText xml:space="preserve"> NUMPAGES  </w:instrText>
            </w:r>
            <w:r w:rsidRPr="004D7C19">
              <w:rPr>
                <w:b/>
                <w:bCs/>
              </w:rPr>
              <w:fldChar w:fldCharType="separate"/>
            </w:r>
            <w:r w:rsidRPr="004D7C19">
              <w:rPr>
                <w:b/>
                <w:bCs/>
                <w:noProof/>
                <w:sz w:val="20"/>
                <w:szCs w:val="20"/>
              </w:rPr>
              <w:t>2</w:t>
            </w:r>
            <w:r w:rsidRPr="004D7C19">
              <w:rPr>
                <w:b/>
                <w:bCs/>
              </w:rPr>
              <w:fldChar w:fldCharType="end"/>
            </w:r>
          </w:p>
        </w:sdtContent>
      </w:sdt>
    </w:sdtContent>
  </w:sdt>
  <w:p w14:paraId="464259DD" w14:textId="77777777" w:rsidR="00894E35" w:rsidRDefault="00894E3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49139" w14:textId="77777777" w:rsidR="00783B0B" w:rsidRDefault="00783B0B" w:rsidP="00783B0B">
      <w:pPr>
        <w:spacing w:after="0" w:line="240" w:lineRule="auto"/>
      </w:pPr>
      <w:r>
        <w:separator/>
      </w:r>
    </w:p>
  </w:footnote>
  <w:footnote w:type="continuationSeparator" w:id="0">
    <w:p w14:paraId="659C90CF" w14:textId="77777777" w:rsidR="00783B0B" w:rsidRDefault="00783B0B" w:rsidP="00783B0B">
      <w:pPr>
        <w:spacing w:after="0" w:line="240" w:lineRule="auto"/>
      </w:pPr>
      <w:r>
        <w:continuationSeparator/>
      </w:r>
    </w:p>
  </w:footnote>
  <w:footnote w:id="1">
    <w:p w14:paraId="69F7D457" w14:textId="23FC020B" w:rsidR="00295CC4" w:rsidRPr="00295CC4" w:rsidRDefault="00295CC4">
      <w:pPr>
        <w:pStyle w:val="Fotnotetekst"/>
        <w:rPr>
          <w:lang w:val="nb-NO"/>
        </w:rPr>
      </w:pPr>
      <w:r>
        <w:rPr>
          <w:rStyle w:val="Fotnotereferanse"/>
        </w:rPr>
        <w:footnoteRef/>
      </w:r>
      <w:r w:rsidRPr="00295CC4">
        <w:rPr>
          <w:lang w:val="nb-NO"/>
        </w:rPr>
        <w:t xml:space="preserve"> Di</w:t>
      </w:r>
      <w:r>
        <w:rPr>
          <w:lang w:val="nb-NO"/>
        </w:rPr>
        <w:t>sse malene kan kun brukes av GTT-team med komplette tidsserier</w:t>
      </w:r>
      <w:r w:rsidR="00A83B24">
        <w:rPr>
          <w:lang w:val="nb-NO"/>
        </w:rPr>
        <w:t xml:space="preserve">. Team </w:t>
      </w:r>
      <w:r w:rsidR="001C6752">
        <w:rPr>
          <w:lang w:val="nb-NO"/>
        </w:rPr>
        <w:t xml:space="preserve">som har </w:t>
      </w:r>
      <w:r w:rsidR="00A83B24">
        <w:rPr>
          <w:lang w:val="nb-NO"/>
        </w:rPr>
        <w:t>sommersteng</w:t>
      </w:r>
      <w:r w:rsidR="001C6752">
        <w:rPr>
          <w:lang w:val="nb-NO"/>
        </w:rPr>
        <w:t>t</w:t>
      </w:r>
      <w:r w:rsidR="00A83B24">
        <w:rPr>
          <w:lang w:val="nb-NO"/>
        </w:rPr>
        <w:t xml:space="preserve"> eller </w:t>
      </w:r>
      <w:r w:rsidR="000A721E">
        <w:rPr>
          <w:lang w:val="nb-NO"/>
        </w:rPr>
        <w:t xml:space="preserve">av </w:t>
      </w:r>
      <w:r w:rsidR="00A83B24">
        <w:rPr>
          <w:lang w:val="nb-NO"/>
        </w:rPr>
        <w:t xml:space="preserve">andre </w:t>
      </w:r>
      <w:r w:rsidR="000A721E">
        <w:rPr>
          <w:lang w:val="nb-NO"/>
        </w:rPr>
        <w:t xml:space="preserve">grunner mangler data for </w:t>
      </w:r>
      <w:r w:rsidR="009927A7">
        <w:rPr>
          <w:lang w:val="nb-NO"/>
        </w:rPr>
        <w:t>é</w:t>
      </w:r>
      <w:r w:rsidR="000A721E">
        <w:rPr>
          <w:lang w:val="nb-NO"/>
        </w:rPr>
        <w:t>n</w:t>
      </w:r>
      <w:r w:rsidR="00500D37">
        <w:rPr>
          <w:lang w:val="nb-NO"/>
        </w:rPr>
        <w:t xml:space="preserve"> eller flere to-ukers-</w:t>
      </w:r>
      <w:r w:rsidR="000A721E">
        <w:rPr>
          <w:lang w:val="nb-NO"/>
        </w:rPr>
        <w:t>periode</w:t>
      </w:r>
      <w:r w:rsidR="00500D37">
        <w:rPr>
          <w:lang w:val="nb-NO"/>
        </w:rPr>
        <w:t>r</w:t>
      </w:r>
      <w:r w:rsidR="00A83B24">
        <w:rPr>
          <w:lang w:val="nb-NO"/>
        </w:rPr>
        <w:t xml:space="preserve"> kan altså ikke benytte malene</w:t>
      </w:r>
      <w:r>
        <w:rPr>
          <w:lang w:val="nb-NO"/>
        </w:rPr>
        <w:t>.</w:t>
      </w:r>
    </w:p>
  </w:footnote>
  <w:footnote w:id="2">
    <w:p w14:paraId="4AE7AAD4" w14:textId="747CA652" w:rsidR="00551142" w:rsidRPr="00551142" w:rsidRDefault="00551142" w:rsidP="00551142">
      <w:pPr>
        <w:pStyle w:val="Fotnotetekst"/>
        <w:rPr>
          <w:lang w:val="nb-NO"/>
        </w:rPr>
      </w:pPr>
      <w:r>
        <w:rPr>
          <w:rStyle w:val="Fotnotereferanse"/>
        </w:rPr>
        <w:footnoteRef/>
      </w:r>
      <w:r w:rsidRPr="00551142">
        <w:rPr>
          <w:lang w:val="nb-NO"/>
        </w:rPr>
        <w:t xml:space="preserve"> Se vedlegg 1</w:t>
      </w:r>
      <w:r w:rsidR="00433AC2">
        <w:rPr>
          <w:lang w:val="nb-NO"/>
        </w:rPr>
        <w:t xml:space="preserve"> på neste side</w:t>
      </w:r>
      <w:r w:rsidRPr="00551142">
        <w:rPr>
          <w:lang w:val="nb-NO"/>
        </w:rPr>
        <w:t xml:space="preserve"> for en detaljert beskrivelse av beregning av kontrollgrenser.</w:t>
      </w:r>
    </w:p>
  </w:footnote>
  <w:footnote w:id="3">
    <w:p w14:paraId="3491625B" w14:textId="77777777" w:rsidR="003D022D" w:rsidRPr="00B07EB7" w:rsidRDefault="003D022D" w:rsidP="003D022D">
      <w:pPr>
        <w:pStyle w:val="Fotnotetekst"/>
        <w:rPr>
          <w:lang w:val="en-GB"/>
        </w:rPr>
      </w:pPr>
      <w:r w:rsidRPr="00246B8E">
        <w:rPr>
          <w:rStyle w:val="Fotnotereferanse"/>
          <w:b/>
        </w:rPr>
        <w:footnoteRef/>
      </w:r>
      <w:r w:rsidRPr="00DC0828">
        <w:rPr>
          <w:b/>
          <w:lang w:val="en-GB"/>
        </w:rPr>
        <w:t xml:space="preserve"> </w:t>
      </w:r>
      <w:r w:rsidRPr="00DC0828">
        <w:rPr>
          <w:lang w:val="en-GB"/>
        </w:rPr>
        <w:t xml:space="preserve">Mohammed MA, Worthington P, Woodall WH. </w:t>
      </w:r>
      <w:r w:rsidRPr="00941D30">
        <w:t xml:space="preserve">Plotting basic control charts: tutorial notes for healthcare practitioners. </w:t>
      </w:r>
      <w:r w:rsidRPr="00B07EB7">
        <w:rPr>
          <w:i/>
          <w:lang w:val="en-GB"/>
        </w:rPr>
        <w:t xml:space="preserve">Qual </w:t>
      </w:r>
      <w:proofErr w:type="spellStart"/>
      <w:r w:rsidRPr="00B07EB7">
        <w:rPr>
          <w:i/>
          <w:lang w:val="en-GB"/>
        </w:rPr>
        <w:t>Saf</w:t>
      </w:r>
      <w:proofErr w:type="spellEnd"/>
      <w:r w:rsidRPr="00B07EB7">
        <w:rPr>
          <w:i/>
          <w:lang w:val="en-GB"/>
        </w:rPr>
        <w:t xml:space="preserve"> Health Care</w:t>
      </w:r>
      <w:r w:rsidRPr="00B07EB7">
        <w:rPr>
          <w:lang w:val="en-GB"/>
        </w:rPr>
        <w:t xml:space="preserve"> 2008;17:137-145.</w:t>
      </w:r>
    </w:p>
  </w:footnote>
  <w:footnote w:id="4">
    <w:p w14:paraId="487700A5" w14:textId="77777777" w:rsidR="003D022D" w:rsidRPr="003D022D" w:rsidRDefault="003D022D" w:rsidP="003D022D">
      <w:pPr>
        <w:pStyle w:val="Fotnotetekst"/>
        <w:rPr>
          <w:lang w:val="nb-NO"/>
        </w:rPr>
      </w:pPr>
      <w:r>
        <w:rPr>
          <w:rStyle w:val="Fotnotereferanse"/>
        </w:rPr>
        <w:footnoteRef/>
      </w:r>
      <w:r w:rsidRPr="003D022D">
        <w:rPr>
          <w:lang w:val="nb-NO"/>
        </w:rPr>
        <w:t xml:space="preserve"> Vi antar her at gjennomsnittverdien, </w:t>
      </w:r>
      <m:oMath>
        <m:acc>
          <m:accPr>
            <m:chr m:val="̅"/>
            <m:ctrlPr>
              <w:rPr>
                <w:rFonts w:ascii="Cambria Math" w:eastAsiaTheme="minorEastAsia" w:hAnsi="Cambria Math" w:cs="Arial"/>
                <w:i/>
              </w:rPr>
            </m:ctrlPr>
          </m:accPr>
          <m:e>
            <m:r>
              <w:rPr>
                <w:rFonts w:ascii="Cambria Math" w:eastAsiaTheme="minorEastAsia" w:hAnsi="Cambria Math" w:cs="Arial"/>
              </w:rPr>
              <m:t>p</m:t>
            </m:r>
          </m:e>
        </m:acc>
      </m:oMath>
      <w:r w:rsidRPr="003D022D">
        <w:rPr>
          <w:rFonts w:eastAsiaTheme="minorEastAsia"/>
          <w:lang w:val="nb-NO"/>
        </w:rPr>
        <w:t xml:space="preserve">, gjelder for alle perioder i inneværende år, selv om de glattede dataene er basert på data fra to ulike år i starten av hvert år. </w:t>
      </w:r>
    </w:p>
  </w:footnote>
  <w:footnote w:id="5">
    <w:p w14:paraId="18608DA4" w14:textId="77777777" w:rsidR="003D022D" w:rsidRPr="003D022D" w:rsidRDefault="003D022D" w:rsidP="003D022D">
      <w:pPr>
        <w:pStyle w:val="Fotnotetekst"/>
        <w:rPr>
          <w:lang w:val="nb-NO"/>
        </w:rPr>
      </w:pPr>
      <w:r>
        <w:rPr>
          <w:rStyle w:val="Fotnotereferanse"/>
        </w:rPr>
        <w:footnoteRef/>
      </w:r>
      <w:r w:rsidRPr="003D022D">
        <w:rPr>
          <w:lang w:val="nb-NO"/>
        </w:rPr>
        <w:t xml:space="preserve"> Dersom formelen over gir et negativt tall settes grensen til 0. Dersom formelen over gir et tall større enn 100 settes grensen til 100.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1EBE"/>
    <w:multiLevelType w:val="hybridMultilevel"/>
    <w:tmpl w:val="28628B0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6983C39"/>
    <w:multiLevelType w:val="hybridMultilevel"/>
    <w:tmpl w:val="21B0A98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D6E73E1"/>
    <w:multiLevelType w:val="hybridMultilevel"/>
    <w:tmpl w:val="79FA02D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A4"/>
    <w:rsid w:val="00002728"/>
    <w:rsid w:val="00011327"/>
    <w:rsid w:val="00014C3E"/>
    <w:rsid w:val="00023346"/>
    <w:rsid w:val="00061880"/>
    <w:rsid w:val="000A721E"/>
    <w:rsid w:val="000B3B7F"/>
    <w:rsid w:val="000F0D55"/>
    <w:rsid w:val="000F4998"/>
    <w:rsid w:val="00107356"/>
    <w:rsid w:val="00125E82"/>
    <w:rsid w:val="00126965"/>
    <w:rsid w:val="00132594"/>
    <w:rsid w:val="00132E3A"/>
    <w:rsid w:val="001518E2"/>
    <w:rsid w:val="001649CE"/>
    <w:rsid w:val="00193543"/>
    <w:rsid w:val="001A1439"/>
    <w:rsid w:val="001C6752"/>
    <w:rsid w:val="001D00B5"/>
    <w:rsid w:val="00204A2D"/>
    <w:rsid w:val="00285CF7"/>
    <w:rsid w:val="00295CC4"/>
    <w:rsid w:val="002B15EA"/>
    <w:rsid w:val="002C1679"/>
    <w:rsid w:val="002F7E83"/>
    <w:rsid w:val="00300330"/>
    <w:rsid w:val="00332E93"/>
    <w:rsid w:val="00335C68"/>
    <w:rsid w:val="0033737C"/>
    <w:rsid w:val="00346955"/>
    <w:rsid w:val="00357950"/>
    <w:rsid w:val="003810E7"/>
    <w:rsid w:val="00393518"/>
    <w:rsid w:val="003A2581"/>
    <w:rsid w:val="003B3520"/>
    <w:rsid w:val="003D022D"/>
    <w:rsid w:val="003E481B"/>
    <w:rsid w:val="00415130"/>
    <w:rsid w:val="00433AC2"/>
    <w:rsid w:val="004354DA"/>
    <w:rsid w:val="00447FEF"/>
    <w:rsid w:val="00451DED"/>
    <w:rsid w:val="00452FDC"/>
    <w:rsid w:val="00470CCC"/>
    <w:rsid w:val="004970C6"/>
    <w:rsid w:val="004A5987"/>
    <w:rsid w:val="004D55D5"/>
    <w:rsid w:val="004D7C19"/>
    <w:rsid w:val="004F1BBD"/>
    <w:rsid w:val="004F6533"/>
    <w:rsid w:val="00500D37"/>
    <w:rsid w:val="00501B9D"/>
    <w:rsid w:val="005148FB"/>
    <w:rsid w:val="00516AA4"/>
    <w:rsid w:val="00517F5E"/>
    <w:rsid w:val="00551142"/>
    <w:rsid w:val="005B517B"/>
    <w:rsid w:val="005D2E5B"/>
    <w:rsid w:val="00634980"/>
    <w:rsid w:val="00641D22"/>
    <w:rsid w:val="00653A20"/>
    <w:rsid w:val="00662099"/>
    <w:rsid w:val="006A0D85"/>
    <w:rsid w:val="006B20C1"/>
    <w:rsid w:val="006D1A19"/>
    <w:rsid w:val="006D60DE"/>
    <w:rsid w:val="006E7577"/>
    <w:rsid w:val="00705AAD"/>
    <w:rsid w:val="00717D34"/>
    <w:rsid w:val="00720120"/>
    <w:rsid w:val="0072486A"/>
    <w:rsid w:val="00783B0B"/>
    <w:rsid w:val="007F4194"/>
    <w:rsid w:val="007F4354"/>
    <w:rsid w:val="00811A70"/>
    <w:rsid w:val="008324EB"/>
    <w:rsid w:val="00844279"/>
    <w:rsid w:val="0085202B"/>
    <w:rsid w:val="00894E35"/>
    <w:rsid w:val="008A6626"/>
    <w:rsid w:val="0090107D"/>
    <w:rsid w:val="00902937"/>
    <w:rsid w:val="00914013"/>
    <w:rsid w:val="00964C0B"/>
    <w:rsid w:val="009927A7"/>
    <w:rsid w:val="009A3AD6"/>
    <w:rsid w:val="009B36FF"/>
    <w:rsid w:val="009C141A"/>
    <w:rsid w:val="009D3CDB"/>
    <w:rsid w:val="009D722B"/>
    <w:rsid w:val="009F13F0"/>
    <w:rsid w:val="009F5EFE"/>
    <w:rsid w:val="00A25B83"/>
    <w:rsid w:val="00A61DF1"/>
    <w:rsid w:val="00A765FE"/>
    <w:rsid w:val="00A81831"/>
    <w:rsid w:val="00A83B24"/>
    <w:rsid w:val="00AA4F0E"/>
    <w:rsid w:val="00AC778D"/>
    <w:rsid w:val="00B07EB7"/>
    <w:rsid w:val="00B745DD"/>
    <w:rsid w:val="00BA014F"/>
    <w:rsid w:val="00BA7CD4"/>
    <w:rsid w:val="00BB1938"/>
    <w:rsid w:val="00BB63BC"/>
    <w:rsid w:val="00BE1B78"/>
    <w:rsid w:val="00BE4182"/>
    <w:rsid w:val="00C000B8"/>
    <w:rsid w:val="00C1560D"/>
    <w:rsid w:val="00C71D19"/>
    <w:rsid w:val="00C938DD"/>
    <w:rsid w:val="00C93C0C"/>
    <w:rsid w:val="00C953AB"/>
    <w:rsid w:val="00C95941"/>
    <w:rsid w:val="00C95B1D"/>
    <w:rsid w:val="00CA6AF0"/>
    <w:rsid w:val="00CB3947"/>
    <w:rsid w:val="00D1646C"/>
    <w:rsid w:val="00D27D56"/>
    <w:rsid w:val="00D37C7F"/>
    <w:rsid w:val="00D46C98"/>
    <w:rsid w:val="00D540AF"/>
    <w:rsid w:val="00DA4049"/>
    <w:rsid w:val="00DA6587"/>
    <w:rsid w:val="00DF1C32"/>
    <w:rsid w:val="00DF428C"/>
    <w:rsid w:val="00E0193E"/>
    <w:rsid w:val="00E16E54"/>
    <w:rsid w:val="00E326D1"/>
    <w:rsid w:val="00E455A9"/>
    <w:rsid w:val="00E96843"/>
    <w:rsid w:val="00E97A0B"/>
    <w:rsid w:val="00EA0D80"/>
    <w:rsid w:val="00EA58A6"/>
    <w:rsid w:val="00EC7041"/>
    <w:rsid w:val="00ED595C"/>
    <w:rsid w:val="00F719A5"/>
    <w:rsid w:val="00F72B0B"/>
    <w:rsid w:val="00FB1FB5"/>
    <w:rsid w:val="00FB4650"/>
    <w:rsid w:val="00FD121C"/>
    <w:rsid w:val="00FD2B15"/>
    <w:rsid w:val="00FD66A4"/>
    <w:rsid w:val="00FE2D7D"/>
    <w:rsid w:val="00FE5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AADE1"/>
  <w15:chartTrackingRefBased/>
  <w15:docId w15:val="{F6D6978E-7231-48FF-A4E4-F1E803A5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B35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3D022D"/>
    <w:pPr>
      <w:keepNext/>
      <w:keepLines/>
      <w:spacing w:before="40" w:after="0"/>
      <w:outlineLvl w:val="1"/>
    </w:pPr>
    <w:rPr>
      <w:rFonts w:asciiTheme="majorHAnsi" w:eastAsiaTheme="majorEastAsia" w:hAnsiTheme="majorHAnsi" w:cstheme="majorBidi"/>
      <w:color w:val="365F91" w:themeColor="accent1" w:themeShade="BF"/>
      <w:sz w:val="26"/>
      <w:szCs w:val="26"/>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FD66A4"/>
    <w:rPr>
      <w:color w:val="0000FF" w:themeColor="hyperlink"/>
      <w:u w:val="single"/>
    </w:rPr>
  </w:style>
  <w:style w:type="paragraph" w:styleId="Listeavsnitt">
    <w:name w:val="List Paragraph"/>
    <w:basedOn w:val="Normal"/>
    <w:uiPriority w:val="34"/>
    <w:qFormat/>
    <w:rsid w:val="00A25B83"/>
    <w:pPr>
      <w:ind w:left="720"/>
      <w:contextualSpacing/>
    </w:pPr>
  </w:style>
  <w:style w:type="paragraph" w:styleId="Fotnotetekst">
    <w:name w:val="footnote text"/>
    <w:basedOn w:val="Normal"/>
    <w:link w:val="FotnotetekstTegn"/>
    <w:uiPriority w:val="99"/>
    <w:semiHidden/>
    <w:unhideWhenUsed/>
    <w:rsid w:val="00783B0B"/>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783B0B"/>
    <w:rPr>
      <w:sz w:val="20"/>
      <w:szCs w:val="20"/>
    </w:rPr>
  </w:style>
  <w:style w:type="character" w:styleId="Fotnotereferanse">
    <w:name w:val="footnote reference"/>
    <w:basedOn w:val="Standardskriftforavsnitt"/>
    <w:uiPriority w:val="99"/>
    <w:semiHidden/>
    <w:unhideWhenUsed/>
    <w:rsid w:val="00783B0B"/>
    <w:rPr>
      <w:vertAlign w:val="superscript"/>
    </w:rPr>
  </w:style>
  <w:style w:type="paragraph" w:styleId="Topptekst">
    <w:name w:val="header"/>
    <w:basedOn w:val="Normal"/>
    <w:link w:val="TopptekstTegn"/>
    <w:uiPriority w:val="99"/>
    <w:unhideWhenUsed/>
    <w:rsid w:val="00894E35"/>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894E35"/>
  </w:style>
  <w:style w:type="paragraph" w:styleId="Bunntekst">
    <w:name w:val="footer"/>
    <w:basedOn w:val="Normal"/>
    <w:link w:val="BunntekstTegn"/>
    <w:uiPriority w:val="99"/>
    <w:unhideWhenUsed/>
    <w:rsid w:val="00894E35"/>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894E35"/>
  </w:style>
  <w:style w:type="character" w:customStyle="1" w:styleId="Overskrift1Tegn">
    <w:name w:val="Overskrift 1 Tegn"/>
    <w:basedOn w:val="Standardskriftforavsnitt"/>
    <w:link w:val="Overskrift1"/>
    <w:uiPriority w:val="9"/>
    <w:rsid w:val="003B3520"/>
    <w:rPr>
      <w:rFonts w:asciiTheme="majorHAnsi" w:eastAsiaTheme="majorEastAsia" w:hAnsiTheme="majorHAnsi" w:cstheme="majorBidi"/>
      <w:color w:val="365F91" w:themeColor="accent1" w:themeShade="BF"/>
      <w:sz w:val="32"/>
      <w:szCs w:val="32"/>
    </w:rPr>
  </w:style>
  <w:style w:type="character" w:styleId="Fulgthyperkobling">
    <w:name w:val="FollowedHyperlink"/>
    <w:basedOn w:val="Standardskriftforavsnitt"/>
    <w:uiPriority w:val="99"/>
    <w:semiHidden/>
    <w:unhideWhenUsed/>
    <w:rsid w:val="00023346"/>
    <w:rPr>
      <w:color w:val="800080" w:themeColor="followedHyperlink"/>
      <w:u w:val="single"/>
    </w:rPr>
  </w:style>
  <w:style w:type="character" w:customStyle="1" w:styleId="Overskrift2Tegn">
    <w:name w:val="Overskrift 2 Tegn"/>
    <w:basedOn w:val="Standardskriftforavsnitt"/>
    <w:link w:val="Overskrift2"/>
    <w:uiPriority w:val="9"/>
    <w:rsid w:val="003D022D"/>
    <w:rPr>
      <w:rFonts w:asciiTheme="majorHAnsi" w:eastAsiaTheme="majorEastAsia" w:hAnsiTheme="majorHAnsi" w:cstheme="majorBidi"/>
      <w:color w:val="365F91" w:themeColor="accent1" w:themeShade="BF"/>
      <w:sz w:val="26"/>
      <w:szCs w:val="26"/>
      <w:lang w:val="nb-NO"/>
    </w:rPr>
  </w:style>
  <w:style w:type="character" w:styleId="Merknadsreferanse">
    <w:name w:val="annotation reference"/>
    <w:basedOn w:val="Standardskriftforavsnitt"/>
    <w:uiPriority w:val="99"/>
    <w:semiHidden/>
    <w:unhideWhenUsed/>
    <w:rsid w:val="00F72B0B"/>
    <w:rPr>
      <w:sz w:val="16"/>
      <w:szCs w:val="16"/>
    </w:rPr>
  </w:style>
  <w:style w:type="paragraph" w:styleId="Merknadstekst">
    <w:name w:val="annotation text"/>
    <w:basedOn w:val="Normal"/>
    <w:link w:val="MerknadstekstTegn"/>
    <w:uiPriority w:val="99"/>
    <w:semiHidden/>
    <w:unhideWhenUsed/>
    <w:rsid w:val="00F72B0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72B0B"/>
    <w:rPr>
      <w:sz w:val="20"/>
      <w:szCs w:val="20"/>
    </w:rPr>
  </w:style>
  <w:style w:type="paragraph" w:styleId="Kommentaremne">
    <w:name w:val="annotation subject"/>
    <w:basedOn w:val="Merknadstekst"/>
    <w:next w:val="Merknadstekst"/>
    <w:link w:val="KommentaremneTegn"/>
    <w:uiPriority w:val="99"/>
    <w:semiHidden/>
    <w:unhideWhenUsed/>
    <w:rsid w:val="00F72B0B"/>
    <w:rPr>
      <w:b/>
      <w:bCs/>
    </w:rPr>
  </w:style>
  <w:style w:type="character" w:customStyle="1" w:styleId="KommentaremneTegn">
    <w:name w:val="Kommentaremne Tegn"/>
    <w:basedOn w:val="MerknadstekstTegn"/>
    <w:link w:val="Kommentaremne"/>
    <w:uiPriority w:val="99"/>
    <w:semiHidden/>
    <w:rsid w:val="00F72B0B"/>
    <w:rPr>
      <w:b/>
      <w:bCs/>
      <w:sz w:val="20"/>
      <w:szCs w:val="20"/>
    </w:rPr>
  </w:style>
  <w:style w:type="paragraph" w:styleId="Bobletekst">
    <w:name w:val="Balloon Text"/>
    <w:basedOn w:val="Normal"/>
    <w:link w:val="BobletekstTegn"/>
    <w:uiPriority w:val="99"/>
    <w:semiHidden/>
    <w:unhideWhenUsed/>
    <w:rsid w:val="00F72B0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72B0B"/>
    <w:rPr>
      <w:rFonts w:ascii="Segoe UI" w:hAnsi="Segoe UI" w:cs="Segoe UI"/>
      <w:sz w:val="18"/>
      <w:szCs w:val="18"/>
    </w:rPr>
  </w:style>
  <w:style w:type="character" w:styleId="Ulstomtale">
    <w:name w:val="Unresolved Mention"/>
    <w:basedOn w:val="Standardskriftforavsnitt"/>
    <w:uiPriority w:val="99"/>
    <w:semiHidden/>
    <w:unhideWhenUsed/>
    <w:rsid w:val="00717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ryggehender24-7.no/malinger/global-trigger-tool-gtt/praktisk-informasjon-for-global-trigger-tool-t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4B36B-93B5-425A-B2DB-A727EA117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917</Words>
  <Characters>4862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Norsk Regnesentral</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Reiersølmoen Neef</dc:creator>
  <cp:keywords/>
  <dc:description/>
  <cp:lastModifiedBy>Wenche Pedersen Patrono</cp:lastModifiedBy>
  <cp:revision>2</cp:revision>
  <dcterms:created xsi:type="dcterms:W3CDTF">2022-11-17T09:37:00Z</dcterms:created>
  <dcterms:modified xsi:type="dcterms:W3CDTF">2022-11-17T09:37:00Z</dcterms:modified>
</cp:coreProperties>
</file>